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157</w:t>
      </w:r>
    </w:p>
    <w:p>
      <w:pPr>
        <w:spacing w:before="0" w:after="0"/>
        <w:ind w:left="120"/>
        <w:jc w:val="center"/>
      </w:pPr>
      <w:r>
        <w:rPr>
          <w:rFonts w:ascii="Times New Roman" w:hAnsi="Times New Roman"/>
          <w:b w:val="false"/>
          <w:i w:val="false"/>
          <w:color w:val="000000"/>
          <w:sz w:val="21"/>
        </w:rPr>
        <w:t>STANDARDS FOR SUBSTANCE ABUSE TREATMENT AND ASSESSMENT PROGRAMS AND THE OPERATING A MOTOR VEHICLE WHILE INTOXICATED (OWI) LAW</w:t>
      </w:r>
    </w:p>
    <w:p>
      <w:pPr>
        <w:spacing w:before="0" w:after="0"/>
        <w:ind w:left="120"/>
        <w:jc w:val="center"/>
      </w:pPr>
      <w:r>
        <w:rPr>
          <w:rFonts w:ascii="Times New Roman" w:hAnsi="Times New Roman"/>
          <w:b w:val="false"/>
          <w:i w:val="false"/>
          <w:color w:val="000000"/>
          <w:sz w:val="14"/>
        </w:rPr>
        <w:t>[Prior to 3/29/06, see 643—Ch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641—157.1</w:t>
      </w:r>
      <w:r>
        <w:rPr>
          <w:rFonts w:ascii="Times New Roman" w:hAnsi="Times New Roman"/>
          <w:b/>
          <w:i w:val="false"/>
          <w:color w:val="000000"/>
          <w:sz w:val="22"/>
        </w:rPr>
        <w:t xml:space="preserve">(125) </w:t>
      </w:r>
      <w:r>
        <w:rPr>
          <w:rFonts w:ascii="Times New Roman" w:hAnsi="Times New Roman"/>
          <w:b/>
          <w:i w:val="false"/>
          <w:color w:val="000000"/>
          <w:sz w:val="22"/>
        </w:rPr>
        <w:t xml:space="preserve">Definitions. </w:t>
      </w:r>
      <w:r>
        <w:rPr>
          <w:rFonts w:ascii="Times New Roman" w:hAnsi="Times New Roman"/>
          <w:b w:val="false"/>
          <w:i w:val="false"/>
          <w:color w:val="000000"/>
          <w:sz w:val="22"/>
        </w:rPr>
        <w:t>Unless otherwise indicated, the following definitions apply to the specific terms used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means the ongoing process of identifying a diagnosis, ruling out other diagnoses, and determining the level of care needed by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“Course for drinking drivers” </w:t>
      </w:r>
      <w:r>
        <w:rPr>
          <w:rFonts w:ascii="Times New Roman" w:hAnsi="Times New Roman"/>
          <w:b w:val="false"/>
          <w:i w:val="false"/>
          <w:color w:val="000000"/>
          <w:sz w:val="22"/>
        </w:rPr>
        <w:t xml:space="preserve">means an approved course designed to inform the offender about drinking and driving and to encourage the offender to assess the offender’s own drinking and driving behavior in order to select practical alternatives. Enrollment in the course is not limited to persons ordered to enroll, attend, and successfully complete the course required under Iowa Code sections </w:t>
      </w:r>
      <w:hyperlink r:id="rId5">
        <w:r>
          <w:rPr>
            <w:rStyle w:val="Hyperlink"/>
            <w:rFonts w:ascii="Times New Roman" w:hAnsi="Times New Roman"/>
            <w:b w:val="false"/>
            <w:i w:val="false"/>
            <w:color w:val="000000"/>
            <w:sz w:val="22"/>
          </w:rPr>
          <w:t>321J.1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321J.17</w:t>
        </w:r>
      </w:hyperlink>
      <w:r>
        <w:rPr>
          <w:rFonts w:ascii="Times New Roman" w:hAnsi="Times New Roman"/>
          <w:b w:val="false"/>
          <w:i w:val="false"/>
          <w:color w:val="000000"/>
          <w:sz w:val="22"/>
        </w:rPr>
        <w:t xml:space="preserve">. However, any person under the age of 18 who is required to attend the course for violation of Iowa Code section </w:t>
      </w:r>
      <w:hyperlink r:id="rId7">
        <w:r>
          <w:rPr>
            <w:rStyle w:val="Hyperlink"/>
            <w:rFonts w:ascii="Times New Roman" w:hAnsi="Times New Roman"/>
            <w:b w:val="false"/>
            <w:i w:val="false"/>
            <w:color w:val="000000"/>
            <w:sz w:val="22"/>
          </w:rPr>
          <w:t>321J.2</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321J.17</w:t>
        </w:r>
      </w:hyperlink>
      <w:r>
        <w:rPr>
          <w:rFonts w:ascii="Times New Roman" w:hAnsi="Times New Roman"/>
          <w:b w:val="false"/>
          <w:i w:val="false"/>
          <w:color w:val="000000"/>
          <w:sz w:val="22"/>
        </w:rPr>
        <w:t xml:space="preserve"> must attend a course offered by a substance abuse treatment program licensed under Iowa Code chapter </w:t>
      </w:r>
      <w:hyperlink r:id="rId9">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Any instructional course for drinking drivers shall be approved by the department of education in consultation with the community colleges and substance abuse treatment programs licensed under Iowa Code chapter </w:t>
      </w:r>
      <w:hyperlink r:id="rId10">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and using the course of instruction detailed in rule </w:t>
      </w:r>
      <w:hyperlink r:id="rId11">
        <w:r>
          <w:rPr>
            <w:rStyle w:val="Hyperlink"/>
            <w:rFonts w:ascii="Times New Roman" w:hAnsi="Times New Roman"/>
            <w:b w:val="false"/>
            <w:i w:val="false"/>
            <w:color w:val="000000"/>
            <w:sz w:val="22"/>
          </w:rPr>
          <w:t>281—21.31</w:t>
        </w:r>
      </w:hyperlink>
      <w:r>
        <w:rPr>
          <w:rFonts w:ascii="Times New Roman" w:hAnsi="Times New Roman"/>
          <w:b w:val="false"/>
          <w:i w:val="false"/>
          <w:color w:val="000000"/>
          <w:sz w:val="22"/>
        </w:rPr>
        <w:t>(321J).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“Evaluation” </w:t>
      </w:r>
      <w:r>
        <w:rPr>
          <w:rFonts w:ascii="Times New Roman" w:hAnsi="Times New Roman"/>
          <w:b w:val="false"/>
          <w:i w:val="false"/>
          <w:color w:val="000000"/>
          <w:sz w:val="22"/>
        </w:rPr>
        <w:t>means the process to evaluate the client’s strengths, weaknesses, problems, and needs for the purpose of defining a course of treatment. This includes use of a standardized placement screening and any additional patient/client profile information, and recommendation to an appropriate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“HIPAA” </w:t>
      </w:r>
      <w:r>
        <w:rPr>
          <w:rFonts w:ascii="Times New Roman" w:hAnsi="Times New Roman"/>
          <w:b w:val="false"/>
          <w:i w:val="false"/>
          <w:color w:val="000000"/>
          <w:sz w:val="22"/>
        </w:rPr>
        <w:t>means the Health Insurance Portability and Accountability Act of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w:t>
      </w:r>
      <w:r>
        <w:rPr>
          <w:rFonts w:ascii="Times New Roman" w:hAnsi="Times New Roman"/>
          <w:b w:val="false"/>
          <w:i w:val="false"/>
          <w:color w:val="000000"/>
          <w:sz w:val="22"/>
        </w:rPr>
        <w:t>means issuance of a license by the department, which validates the licensee’s compliance with substance use disorder treatment program standards and authorizes the licensee to operate a substance use disorder treatment program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“Posttreatment” </w:t>
      </w:r>
      <w:r>
        <w:rPr>
          <w:rFonts w:ascii="Times New Roman" w:hAnsi="Times New Roman"/>
          <w:b w:val="false"/>
          <w:i w:val="false"/>
          <w:color w:val="000000"/>
          <w:sz w:val="22"/>
        </w:rPr>
        <w:t>means continuing care after primary treatment has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treatment” </w:t>
      </w:r>
      <w:r>
        <w:rPr>
          <w:rFonts w:ascii="Times New Roman" w:hAnsi="Times New Roman"/>
          <w:b w:val="false"/>
          <w:i w:val="false"/>
          <w:color w:val="000000"/>
          <w:sz w:val="22"/>
        </w:rPr>
        <w:t xml:space="preserve">means substance use disorder treatment modality, including licensed program services under </w:t>
      </w:r>
      <w:hyperlink r:id="rId12">
        <w:r>
          <w:rPr>
            <w:rStyle w:val="Hyperlink"/>
            <w:rFonts w:ascii="Times New Roman" w:hAnsi="Times New Roman"/>
            <w:b w:val="false"/>
            <w:i w:val="false"/>
            <w:color w:val="000000"/>
            <w:sz w:val="22"/>
          </w:rPr>
          <w:t>641—Chapter 155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any individual, partnership, corporation, association, governmental subdivision or public or private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program” </w:t>
      </w:r>
      <w:r>
        <w:rPr>
          <w:rFonts w:ascii="Times New Roman" w:hAnsi="Times New Roman"/>
          <w:b w:val="false"/>
          <w:i w:val="false"/>
          <w:color w:val="000000"/>
          <w:sz w:val="22"/>
        </w:rPr>
        <w:t>means a program that has a contract with the state of Iowa or the state’s contracted managed care entity to provide substance abuse treatment using a sliding fee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“Satisfactory completion of the drinking drivers course” </w:t>
      </w:r>
      <w:r>
        <w:rPr>
          <w:rFonts w:ascii="Times New Roman" w:hAnsi="Times New Roman"/>
          <w:b w:val="false"/>
          <w:i w:val="false"/>
          <w:color w:val="000000"/>
          <w:sz w:val="22"/>
        </w:rPr>
        <w:t>means receiving at the completion of the course a grade from the course instructor of “C” or “2.0” or better.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“Screening” </w:t>
      </w:r>
      <w:r>
        <w:rPr>
          <w:rFonts w:ascii="Times New Roman" w:hAnsi="Times New Roman"/>
          <w:b w:val="false"/>
          <w:i w:val="false"/>
          <w:color w:val="000000"/>
          <w:sz w:val="22"/>
        </w:rPr>
        <w:t>means the process by which a client/patient is determined at risk and in need of further evaluation. The focus is on the minimum criteria necessary for appropriateness/eligibility.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“Treatment” </w:t>
      </w:r>
      <w:r>
        <w:rPr>
          <w:rFonts w:ascii="Times New Roman" w:hAnsi="Times New Roman"/>
          <w:b w:val="false"/>
          <w:i w:val="false"/>
          <w:color w:val="000000"/>
          <w:sz w:val="22"/>
        </w:rPr>
        <w:t xml:space="preserve">means the broad range of planned and continuing inpatient, outpatient, and residential care services, including diagnostic evaluation, counseling, medical care, psychiatric care, psychological care, and social service care, that may be extended to concerned persons, concerned family members, or significant others, and that is geared toward influencing the behavior of such individuals to achieve a state of rehabilitation.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9179C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641—157.2</w:t>
      </w:r>
      <w:r>
        <w:rPr>
          <w:rFonts w:ascii="Times New Roman" w:hAnsi="Times New Roman"/>
          <w:b/>
          <w:i w:val="false"/>
          <w:color w:val="000000"/>
          <w:sz w:val="22"/>
        </w:rPr>
        <w:t xml:space="preserve">(125) </w:t>
      </w:r>
      <w:r>
        <w:rPr>
          <w:rFonts w:ascii="Times New Roman" w:hAnsi="Times New Roman"/>
          <w:b/>
          <w:i w:val="false"/>
          <w:color w:val="000000"/>
          <w:sz w:val="22"/>
        </w:rPr>
        <w:t xml:space="preserve">Screening, evaluation, treatment, and drinking drivers course. </w:t>
      </w:r>
      <w:r>
        <w:rPr>
          <w:rFonts w:ascii="Times New Roman" w:hAnsi="Times New Roman"/>
          <w:b w:val="false"/>
          <w:i w:val="false"/>
          <w:color w:val="000000"/>
          <w:sz w:val="22"/>
        </w:rPr>
        <w:t xml:space="preserve">Persons who are charged with operating a motor vehicle while intoxicated (OWI) under Iowa Code section </w:t>
      </w:r>
      <w:hyperlink r:id="rId13">
        <w:r>
          <w:rPr>
            <w:rStyle w:val="Hyperlink"/>
            <w:rFonts w:ascii="Times New Roman" w:hAnsi="Times New Roman"/>
            <w:b w:val="false"/>
            <w:i w:val="false"/>
            <w:color w:val="000000"/>
            <w:sz w:val="22"/>
          </w:rPr>
          <w:t>321J.2</w:t>
        </w:r>
      </w:hyperlink>
      <w:r>
        <w:rPr>
          <w:rFonts w:ascii="Times New Roman" w:hAnsi="Times New Roman"/>
          <w:b w:val="false"/>
          <w:i w:val="false"/>
          <w:color w:val="000000"/>
          <w:sz w:val="22"/>
        </w:rPr>
        <w:t xml:space="preserve"> and whose driver’s license or nonresident operating privileges are revoked under Iowa Code chapter </w:t>
      </w:r>
      <w:hyperlink r:id="rId14">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xml:space="preserve"> shall be assigned to undergo a substance abuse evaluation and, if recommended, treatment from a provider licensed by the department under Iowa Code chapter </w:t>
      </w:r>
      <w:hyperlink r:id="rId15">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157.2(1)</w:t>
      </w:r>
      <w:r>
        <w:rPr>
          <w:rFonts w:ascii="Times New Roman" w:hAnsi="Times New Roman"/>
          <w:b w:val="false"/>
          <w:i w:val="false"/>
          <w:color w:val="000000"/>
          <w:sz w:val="22"/>
        </w:rPr>
        <w:t> </w:t>
      </w:r>
      <w:r>
        <w:rPr>
          <w:rFonts w:ascii="Times New Roman" w:hAnsi="Times New Roman"/>
          <w:b w:val="false"/>
          <w:i/>
          <w:color w:val="000000"/>
          <w:sz w:val="22"/>
        </w:rPr>
        <w:t xml:space="preserve">Screening. </w:t>
      </w:r>
      <w:r>
        <w:rPr>
          <w:rFonts w:ascii="Times New Roman" w:hAnsi="Times New Roman"/>
          <w:b w:val="false"/>
          <w:i w:val="false"/>
          <w:color w:val="000000"/>
          <w:sz w:val="22"/>
        </w:rPr>
        <w:t>The initial screening shall consist of a generally accepted standardized substance abuse screening instrument. The program shall utilize a recognized diagnostic test or tool to determine a substance use disorder as those terms are defined in the Diagnostic and Statistical Manual of Mental Disorders (DSM) published by the American Psychiatric Association (published 2013, with all changes and updates approved by the American Psychiatric Association through September 2023 incorporated herein). In addition, programs shall collect information on blood alcohol content at time of arrest, history of other alcohol or drug-related arrests, history of alcohol/drug treatment, history of mental health problems and treatment, any OWI arrest that included personal injury or additional charge(s), and family history of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157.2(2)</w:t>
      </w:r>
      <w:r>
        <w:rPr>
          <w:rFonts w:ascii="Times New Roman" w:hAnsi="Times New Roman"/>
          <w:b w:val="false"/>
          <w:i w:val="false"/>
          <w:color w:val="000000"/>
          <w:sz w:val="22"/>
        </w:rPr>
        <w:t> </w:t>
      </w:r>
      <w:r>
        <w:rPr>
          <w:rFonts w:ascii="Times New Roman" w:hAnsi="Times New Roman"/>
          <w:b w:val="false"/>
          <w:i/>
          <w:color w:val="000000"/>
          <w:sz w:val="22"/>
        </w:rPr>
        <w:t xml:space="preserve">Evaluation. </w:t>
      </w:r>
      <w:r>
        <w:rPr>
          <w:rFonts w:ascii="Times New Roman" w:hAnsi="Times New Roman"/>
          <w:b w:val="false"/>
          <w:i w:val="false"/>
          <w:color w:val="000000"/>
          <w:sz w:val="22"/>
        </w:rPr>
        <w:t>In accordance with the American Society of Addiction Medicine (ASAM) Criteria (as amended to December 31, 2023) and accepted standards of practice, the evaluation shall consist of evaluating a person’s strengths, resources, preferences, limitations, problems and needs; determining the licensed program services needed by the patient; determining the patient’s eligibility for program services; and identifying treatment plan priorities.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157.2(3)</w:t>
      </w:r>
      <w:r>
        <w:rPr>
          <w:rFonts w:ascii="Times New Roman" w:hAnsi="Times New Roman"/>
          <w:b w:val="false"/>
          <w:i w:val="false"/>
          <w:color w:val="000000"/>
          <w:sz w:val="22"/>
        </w:rPr>
        <w:t> </w:t>
      </w:r>
      <w:r>
        <w:rPr>
          <w:rFonts w:ascii="Times New Roman" w:hAnsi="Times New Roman"/>
          <w:b w:val="false"/>
          <w:i/>
          <w:color w:val="000000"/>
          <w:sz w:val="22"/>
        </w:rPr>
        <w:t xml:space="preserve">Treatment. </w:t>
      </w:r>
      <w:r>
        <w:rPr>
          <w:rFonts w:ascii="Times New Roman" w:hAnsi="Times New Roman"/>
          <w:b w:val="false"/>
          <w:i w:val="false"/>
          <w:color w:val="000000"/>
          <w:sz w:val="22"/>
        </w:rPr>
        <w:t xml:space="preserve">Treatment shall consist of a broad range of planned and continuing inpatient, outpatient, and residential care services, including ongoing diagnostic evaluation, counseling, and medical care, psychiatric care, psychological care, and social service care geared toward influencing the behavior of such individuals to achieve a state of rehabilitation. Individuals will be placed in the appropriate level of care at a substance use disorder treatment program licensed by the department under Iowa Code chapter </w:t>
      </w:r>
      <w:hyperlink r:id="rId16">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in accordance with ASAM Criteria (as amended to December 31, 2023).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157.2(4)</w:t>
      </w:r>
      <w:r>
        <w:rPr>
          <w:rFonts w:ascii="Times New Roman" w:hAnsi="Times New Roman"/>
          <w:b w:val="false"/>
          <w:i w:val="false"/>
          <w:color w:val="000000"/>
          <w:sz w:val="22"/>
        </w:rPr>
        <w:t> </w:t>
      </w:r>
      <w:r>
        <w:rPr>
          <w:rFonts w:ascii="Times New Roman" w:hAnsi="Times New Roman"/>
          <w:b w:val="false"/>
          <w:i/>
          <w:color w:val="000000"/>
          <w:sz w:val="22"/>
        </w:rPr>
        <w:t xml:space="preserve">Drinking drivers course. </w:t>
      </w:r>
      <w:r>
        <w:rPr>
          <w:rFonts w:ascii="Times New Roman" w:hAnsi="Times New Roman"/>
          <w:b w:val="false"/>
          <w:i w:val="false"/>
          <w:color w:val="000000"/>
          <w:sz w:val="22"/>
        </w:rPr>
        <w:t xml:space="preserve">Substance abuse treatment programs licensed by the department under Iowa Code chapter </w:t>
      </w:r>
      <w:hyperlink r:id="rId17">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may provide the drinking drivers course if the course curriculum is approved by the department of education under Iowa Code section </w:t>
      </w:r>
      <w:hyperlink r:id="rId18">
        <w:r>
          <w:rPr>
            <w:rStyle w:val="Hyperlink"/>
            <w:rFonts w:ascii="Times New Roman" w:hAnsi="Times New Roman"/>
            <w:b w:val="false"/>
            <w:i w:val="false"/>
            <w:color w:val="000000"/>
            <w:sz w:val="22"/>
          </w:rPr>
          <w:t>321J.22</w:t>
        </w:r>
      </w:hyperlink>
      <w:r>
        <w:rPr>
          <w:rFonts w:ascii="Times New Roman" w:hAnsi="Times New Roman"/>
          <w:b w:val="false"/>
          <w:i w:val="false"/>
          <w:color w:val="000000"/>
          <w:sz w:val="22"/>
        </w:rPr>
        <w:t xml:space="preserve"> and rule </w:t>
      </w:r>
      <w:hyperlink r:id="rId19">
        <w:r>
          <w:rPr>
            <w:rStyle w:val="Hyperlink"/>
            <w:rFonts w:ascii="Times New Roman" w:hAnsi="Times New Roman"/>
            <w:b w:val="false"/>
            <w:i w:val="false"/>
            <w:color w:val="000000"/>
            <w:sz w:val="22"/>
          </w:rPr>
          <w:t>281—21.31</w:t>
        </w:r>
      </w:hyperlink>
      <w:r>
        <w:rPr>
          <w:rFonts w:ascii="Times New Roman" w:hAnsi="Times New Roman"/>
          <w:b w:val="false"/>
          <w:i w:val="false"/>
          <w:color w:val="000000"/>
          <w:sz w:val="22"/>
        </w:rPr>
        <w:t>(321J).</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9179C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641—157.3</w:t>
      </w:r>
      <w:r>
        <w:rPr>
          <w:rFonts w:ascii="Times New Roman" w:hAnsi="Times New Roman"/>
          <w:b/>
          <w:i w:val="false"/>
          <w:color w:val="000000"/>
          <w:sz w:val="22"/>
        </w:rPr>
        <w:t xml:space="preserve">(125) </w:t>
      </w:r>
      <w:r>
        <w:rPr>
          <w:rFonts w:ascii="Times New Roman" w:hAnsi="Times New Roman"/>
          <w:b/>
          <w:i w:val="false"/>
          <w:color w:val="000000"/>
          <w:sz w:val="22"/>
        </w:rPr>
        <w:t xml:space="preserve">Screening, evaluation, treatment, and drinking drivers course completion. </w:t>
      </w:r>
      <w:r>
        <w:rPr>
          <w:rFonts w:ascii="Times New Roman" w:hAnsi="Times New Roman"/>
          <w:b w:val="false"/>
          <w:i w:val="false"/>
          <w:color w:val="000000"/>
          <w:sz w:val="22"/>
        </w:rPr>
        <w:t xml:space="preserve">The program shall report substance use disorder screening, assessment, evaluation and treatment completion to the department of transportation and to the district court in accordance with Iowa Code sections </w:t>
      </w:r>
      <w:hyperlink r:id="rId20">
        <w:r>
          <w:rPr>
            <w:rStyle w:val="Hyperlink"/>
            <w:rFonts w:ascii="Times New Roman" w:hAnsi="Times New Roman"/>
            <w:b w:val="false"/>
            <w:i w:val="false"/>
            <w:color w:val="000000"/>
            <w:sz w:val="22"/>
          </w:rPr>
          <w:t>125.37</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125.84</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125.86</w:t>
        </w:r>
      </w:hyperlink>
      <w:r>
        <w:rPr>
          <w:rFonts w:ascii="Times New Roman" w:hAnsi="Times New Roman"/>
          <w:b w:val="false"/>
          <w:i w:val="false"/>
          <w:color w:val="000000"/>
          <w:sz w:val="22"/>
        </w:rPr>
        <w:t xml:space="preserve">; the federal confidentiality regulations, “Confidentiality of Alcohol and Drug Abuse Patient Records,” </w:t>
      </w:r>
      <w:r>
        <w:rPr>
          <w:rFonts w:ascii="Times New Roman" w:hAnsi="Times New Roman"/>
          <w:b w:val="false"/>
          <w:i w:val="false"/>
          <w:color w:val="000000"/>
          <w:sz w:val="22"/>
        </w:rPr>
        <w:t>42 CFR Part 2</w:t>
      </w:r>
      <w:r>
        <w:rPr>
          <w:rFonts w:ascii="Times New Roman" w:hAnsi="Times New Roman"/>
          <w:b w:val="false"/>
          <w:i w:val="false"/>
          <w:color w:val="000000"/>
          <w:sz w:val="22"/>
        </w:rPr>
        <w:t xml:space="preserve">, effective June 9, 1987; HIPAA (1996); and other relevant provisions of federal and state law. The program shall report satisfactory completion of the drinking drivers course to the department of education in accordance with Iowa Code section </w:t>
      </w:r>
      <w:hyperlink r:id="rId23">
        <w:r>
          <w:rPr>
            <w:rStyle w:val="Hyperlink"/>
            <w:rFonts w:ascii="Times New Roman" w:hAnsi="Times New Roman"/>
            <w:b w:val="false"/>
            <w:i w:val="false"/>
            <w:color w:val="000000"/>
            <w:sz w:val="22"/>
          </w:rPr>
          <w:t>321J.22</w:t>
        </w:r>
      </w:hyperlink>
      <w:r>
        <w:rPr>
          <w:rFonts w:ascii="Times New Roman" w:hAnsi="Times New Roman"/>
          <w:b w:val="false"/>
          <w:i w:val="false"/>
          <w:color w:val="000000"/>
          <w:sz w:val="22"/>
        </w:rPr>
        <w:t xml:space="preserve"> and rule </w:t>
      </w:r>
      <w:hyperlink r:id="rId24">
        <w:r>
          <w:rPr>
            <w:rStyle w:val="Hyperlink"/>
            <w:rFonts w:ascii="Times New Roman" w:hAnsi="Times New Roman"/>
            <w:b w:val="false"/>
            <w:i w:val="false"/>
            <w:color w:val="000000"/>
            <w:sz w:val="22"/>
          </w:rPr>
          <w:t>281—21.31(260C); the federal confidentiality regulations, “Confidentiality of Alcohol and Drug Abuse Patient Records,” </w:t>
        </w:r>
        <w:r>
          <w:rPr>
            <w:rFonts w:ascii="Times New Roman" w:hAnsi="Times New Roman"/>
            <w:b w:val="false"/>
            <w:i w:val="false"/>
            <w:color w:val="000000"/>
            <w:sz w:val="22"/>
          </w:rPr>
          <w:t>42 CFR Part 2</w:t>
        </w:r>
        <w:r>
          <w:rPr>
            <w:rFonts w:ascii="Times New Roman" w:hAnsi="Times New Roman"/>
            <w:b w:val="false"/>
            <w:i w:val="false"/>
            <w:color w:val="000000"/>
            <w:sz w:val="22"/>
          </w:rPr>
          <w:t>, effective June 9, 1987; HIPAA (1996); and other relevant provisions of federal and state la</w:t>
        </w:r>
      </w:hyperlink>
      <w:r>
        <w:rPr>
          <w:rFonts w:ascii="Times New Roman" w:hAnsi="Times New Roman"/>
          <w:b w:val="false"/>
          <w:i w:val="false"/>
          <w:color w:val="000000"/>
          <w:sz w:val="22"/>
        </w:rPr>
        <w:t>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157.3(1)</w:t>
      </w:r>
      <w:r>
        <w:rPr>
          <w:rFonts w:ascii="Times New Roman" w:hAnsi="Times New Roman"/>
          <w:b w:val="false"/>
          <w:i w:val="false"/>
          <w:color w:val="000000"/>
          <w:sz w:val="22"/>
        </w:rPr>
        <w:t> </w:t>
      </w:r>
      <w:r>
        <w:rPr>
          <w:rFonts w:ascii="Times New Roman" w:hAnsi="Times New Roman"/>
          <w:b w:val="false"/>
          <w:i/>
          <w:color w:val="000000"/>
          <w:sz w:val="22"/>
        </w:rPr>
        <w:t xml:space="preserve">Reporting form. </w:t>
      </w:r>
      <w:r>
        <w:rPr>
          <w:rFonts w:ascii="Times New Roman" w:hAnsi="Times New Roman"/>
          <w:b w:val="false"/>
          <w:i w:val="false"/>
          <w:color w:val="000000"/>
          <w:sz w:val="22"/>
        </w:rPr>
        <w:t xml:space="preserve">Programs shall report screening, evaluation, and treatment completion utilizing the form “Notice Iowa Code 321J—Confidential Medical Record.” Iowa substance abuse evaluation and treatment providers licensed by the department under Iowa Code chapter </w:t>
      </w:r>
      <w:hyperlink r:id="rId25">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shall submit this form online to the department of transportation using the department of transportation’s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157.3(2)</w:t>
      </w:r>
      <w:r>
        <w:rPr>
          <w:rFonts w:ascii="Times New Roman" w:hAnsi="Times New Roman"/>
          <w:b w:val="false"/>
          <w:i w:val="false"/>
          <w:color w:val="000000"/>
          <w:sz w:val="22"/>
        </w:rPr>
        <w:t> </w:t>
      </w:r>
      <w:r>
        <w:rPr>
          <w:rFonts w:ascii="Times New Roman" w:hAnsi="Times New Roman"/>
          <w:b w:val="false"/>
          <w:i/>
          <w:color w:val="000000"/>
          <w:sz w:val="22"/>
        </w:rPr>
        <w:t xml:space="preserve">Primary treatment. </w:t>
      </w:r>
      <w:r>
        <w:rPr>
          <w:rFonts w:ascii="Times New Roman" w:hAnsi="Times New Roman"/>
          <w:b w:val="false"/>
          <w:i w:val="false"/>
          <w:color w:val="000000"/>
          <w:sz w:val="22"/>
        </w:rPr>
        <w:t xml:space="preserve">Upon completion of primary treatment, programs shall report to the department of transportation and the courts that treatment has been completed in accordance with Iowa Code section </w:t>
      </w:r>
      <w:hyperlink r:id="rId26">
        <w:r>
          <w:rPr>
            <w:rStyle w:val="Hyperlink"/>
            <w:rFonts w:ascii="Times New Roman" w:hAnsi="Times New Roman"/>
            <w:b w:val="false"/>
            <w:i w:val="false"/>
            <w:color w:val="000000"/>
            <w:sz w:val="22"/>
          </w:rPr>
          <w:t>321J.22</w:t>
        </w:r>
      </w:hyperlink>
      <w:r>
        <w:rPr>
          <w:rFonts w:ascii="Times New Roman" w:hAnsi="Times New Roman"/>
          <w:b w:val="false"/>
          <w:i w:val="false"/>
          <w:color w:val="000000"/>
          <w:sz w:val="22"/>
        </w:rPr>
        <w:t xml:space="preserve">; the federal confidentiality regulations, “Confidentiality of Alcohol and Drug Abuse Patient Records,” </w:t>
      </w:r>
      <w:r>
        <w:rPr>
          <w:rFonts w:ascii="Times New Roman" w:hAnsi="Times New Roman"/>
          <w:b w:val="false"/>
          <w:i w:val="false"/>
          <w:color w:val="000000"/>
          <w:sz w:val="22"/>
        </w:rPr>
        <w:t>42 CFR Part 2</w:t>
      </w:r>
      <w:r>
        <w:rPr>
          <w:rFonts w:ascii="Times New Roman" w:hAnsi="Times New Roman"/>
          <w:b w:val="false"/>
          <w:i w:val="false"/>
          <w:color w:val="000000"/>
          <w:sz w:val="22"/>
        </w:rPr>
        <w:t>, effective June 9, 1987; HIPAA (1996); and other relevant provisions of federal and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157.3(3)</w:t>
      </w:r>
      <w:r>
        <w:rPr>
          <w:rFonts w:ascii="Times New Roman" w:hAnsi="Times New Roman"/>
          <w:b w:val="false"/>
          <w:i w:val="false"/>
          <w:color w:val="000000"/>
          <w:sz w:val="22"/>
        </w:rPr>
        <w:t> </w:t>
      </w:r>
      <w:r>
        <w:rPr>
          <w:rFonts w:ascii="Times New Roman" w:hAnsi="Times New Roman"/>
          <w:b w:val="false"/>
          <w:i/>
          <w:color w:val="000000"/>
          <w:sz w:val="22"/>
        </w:rPr>
        <w:t xml:space="preserve">Posttreatment results. </w:t>
      </w:r>
      <w:r>
        <w:rPr>
          <w:rFonts w:ascii="Times New Roman" w:hAnsi="Times New Roman"/>
          <w:b w:val="false"/>
          <w:i w:val="false"/>
          <w:color w:val="000000"/>
          <w:sz w:val="22"/>
        </w:rPr>
        <w:t xml:space="preserve">If the court orders a posttreatment program, the program shall report progress and attendance to the person’s probation officer or otherwise as ordered by the court in accordance with Iowa Code section </w:t>
      </w:r>
      <w:hyperlink r:id="rId27">
        <w:r>
          <w:rPr>
            <w:rStyle w:val="Hyperlink"/>
            <w:rFonts w:ascii="Times New Roman" w:hAnsi="Times New Roman"/>
            <w:b w:val="false"/>
            <w:i w:val="false"/>
            <w:color w:val="000000"/>
            <w:sz w:val="22"/>
          </w:rPr>
          <w:t>321J.22</w:t>
        </w:r>
      </w:hyperlink>
      <w:r>
        <w:rPr>
          <w:rFonts w:ascii="Times New Roman" w:hAnsi="Times New Roman"/>
          <w:b w:val="false"/>
          <w:i w:val="false"/>
          <w:color w:val="000000"/>
          <w:sz w:val="22"/>
        </w:rPr>
        <w:t xml:space="preserve">; the federal confidentiality regulations, “Confidentiality of Alcohol and Drug Abuse Patient Records,” </w:t>
      </w:r>
      <w:r>
        <w:rPr>
          <w:rFonts w:ascii="Times New Roman" w:hAnsi="Times New Roman"/>
          <w:b w:val="false"/>
          <w:i w:val="false"/>
          <w:color w:val="000000"/>
          <w:sz w:val="22"/>
        </w:rPr>
        <w:t>42 CFR Part 2</w:t>
      </w:r>
      <w:r>
        <w:rPr>
          <w:rFonts w:ascii="Times New Roman" w:hAnsi="Times New Roman"/>
          <w:b w:val="false"/>
          <w:i w:val="false"/>
          <w:color w:val="000000"/>
          <w:sz w:val="22"/>
        </w:rPr>
        <w:t>, effective June 9, 1987; HIPAA (1996); and other relevant provisions of federal and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157.3(4)</w:t>
      </w:r>
      <w:r>
        <w:rPr>
          <w:rFonts w:ascii="Times New Roman" w:hAnsi="Times New Roman"/>
          <w:b w:val="false"/>
          <w:i w:val="false"/>
          <w:color w:val="000000"/>
          <w:sz w:val="22"/>
        </w:rPr>
        <w:t> </w:t>
      </w:r>
      <w:r>
        <w:rPr>
          <w:rFonts w:ascii="Times New Roman" w:hAnsi="Times New Roman"/>
          <w:b w:val="false"/>
          <w:i/>
          <w:color w:val="000000"/>
          <w:sz w:val="22"/>
        </w:rPr>
        <w:t xml:space="preserve">Drinking drivers course. </w:t>
      </w:r>
      <w:r>
        <w:rPr>
          <w:rFonts w:ascii="Times New Roman" w:hAnsi="Times New Roman"/>
          <w:b w:val="false"/>
          <w:i w:val="false"/>
          <w:color w:val="000000"/>
          <w:sz w:val="22"/>
        </w:rPr>
        <w:t xml:space="preserve">Substance abuse treatment programs licensed by the department under Iowa Code chapter </w:t>
      </w:r>
      <w:hyperlink r:id="rId28">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may provide the drinking drivers course and shall report satisfactory completion of the drinking drivers course to the department of education in accordance with Iowa Code section </w:t>
      </w:r>
      <w:hyperlink r:id="rId29">
        <w:r>
          <w:rPr>
            <w:rStyle w:val="Hyperlink"/>
            <w:rFonts w:ascii="Times New Roman" w:hAnsi="Times New Roman"/>
            <w:b w:val="false"/>
            <w:i w:val="false"/>
            <w:color w:val="000000"/>
            <w:sz w:val="22"/>
          </w:rPr>
          <w:t>321J.22</w:t>
        </w:r>
      </w:hyperlink>
      <w:r>
        <w:rPr>
          <w:rFonts w:ascii="Times New Roman" w:hAnsi="Times New Roman"/>
          <w:b w:val="false"/>
          <w:i w:val="false"/>
          <w:color w:val="000000"/>
          <w:sz w:val="22"/>
        </w:rPr>
        <w:t xml:space="preserve"> and rule </w:t>
      </w:r>
      <w:hyperlink r:id="rId30">
        <w:r>
          <w:rPr>
            <w:rStyle w:val="Hyperlink"/>
            <w:rFonts w:ascii="Times New Roman" w:hAnsi="Times New Roman"/>
            <w:b w:val="false"/>
            <w:i w:val="false"/>
            <w:color w:val="000000"/>
            <w:sz w:val="22"/>
          </w:rPr>
          <w:t>281—21.31</w:t>
        </w:r>
      </w:hyperlink>
      <w:r>
        <w:rPr>
          <w:rFonts w:ascii="Times New Roman" w:hAnsi="Times New Roman"/>
          <w:b w:val="false"/>
          <w:i w:val="false"/>
          <w:color w:val="000000"/>
          <w:sz w:val="22"/>
        </w:rPr>
        <w:t>(260C).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9179C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641—157.4</w:t>
      </w:r>
      <w:r>
        <w:rPr>
          <w:rFonts w:ascii="Times New Roman" w:hAnsi="Times New Roman"/>
          <w:b/>
          <w:i w:val="false"/>
          <w:color w:val="000000"/>
          <w:sz w:val="22"/>
        </w:rPr>
        <w:t xml:space="preserve">(125) </w:t>
      </w:r>
      <w:r>
        <w:rPr>
          <w:rFonts w:ascii="Times New Roman" w:hAnsi="Times New Roman"/>
          <w:b/>
          <w:i w:val="false"/>
          <w:color w:val="000000"/>
          <w:sz w:val="22"/>
        </w:rPr>
        <w:t xml:space="preserve">Cost of evaluation and treatment.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157.4(1)</w:t>
      </w:r>
      <w:r>
        <w:rPr>
          <w:rFonts w:ascii="Times New Roman" w:hAnsi="Times New Roman"/>
          <w:b w:val="false"/>
          <w:i w:val="false"/>
          <w:color w:val="000000"/>
          <w:sz w:val="22"/>
        </w:rPr>
        <w:t> </w:t>
      </w:r>
      <w:r>
        <w:rPr>
          <w:rFonts w:ascii="Times New Roman" w:hAnsi="Times New Roman"/>
          <w:b w:val="false"/>
          <w:i/>
          <w:color w:val="000000"/>
          <w:sz w:val="22"/>
        </w:rPr>
        <w:t xml:space="preserve">Screening and evaluation. </w:t>
      </w:r>
      <w:r>
        <w:rPr>
          <w:rFonts w:ascii="Times New Roman" w:hAnsi="Times New Roman"/>
          <w:b w:val="false"/>
          <w:i w:val="false"/>
          <w:color w:val="000000"/>
          <w:sz w:val="22"/>
        </w:rPr>
        <w:t>The program shall charge no more than $125 for the cost of screening and evaluation. The individual or the individual’s insurance provider shall be responsible for the costs of the screening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157.4(2)</w:t>
      </w:r>
      <w:r>
        <w:rPr>
          <w:rFonts w:ascii="Times New Roman" w:hAnsi="Times New Roman"/>
          <w:b w:val="false"/>
          <w:i w:val="false"/>
          <w:color w:val="000000"/>
          <w:sz w:val="22"/>
        </w:rPr>
        <w:t> </w:t>
      </w:r>
      <w:r>
        <w:rPr>
          <w:rFonts w:ascii="Times New Roman" w:hAnsi="Times New Roman"/>
          <w:b w:val="false"/>
          <w:i/>
          <w:color w:val="000000"/>
          <w:sz w:val="22"/>
        </w:rPr>
        <w:t xml:space="preserve">Treatment. </w:t>
      </w:r>
      <w:r>
        <w:rPr>
          <w:rFonts w:ascii="Times New Roman" w:hAnsi="Times New Roman"/>
          <w:b w:val="false"/>
          <w:i w:val="false"/>
          <w:color w:val="000000"/>
          <w:sz w:val="22"/>
        </w:rPr>
        <w:t xml:space="preserve">Qualifying programs shall consider a person admitted to the program pursuant to Iowa Code section </w:t>
      </w:r>
      <w:hyperlink r:id="rId31">
        <w:r>
          <w:rPr>
            <w:rStyle w:val="Hyperlink"/>
            <w:rFonts w:ascii="Times New Roman" w:hAnsi="Times New Roman"/>
            <w:b w:val="false"/>
            <w:i w:val="false"/>
            <w:color w:val="000000"/>
            <w:sz w:val="22"/>
          </w:rPr>
          <w:t>321J.3</w:t>
        </w:r>
      </w:hyperlink>
      <w:r>
        <w:rPr>
          <w:rFonts w:ascii="Times New Roman" w:hAnsi="Times New Roman"/>
          <w:b w:val="false"/>
          <w:i w:val="false"/>
          <w:color w:val="000000"/>
          <w:sz w:val="22"/>
        </w:rPr>
        <w:t xml:space="preserve"> who does not possess sufficient income or estate to make payment of the costs of the treatment in whole or in part to be a state patient and eligible for state-funded treatment as provided in Iowa Code section </w:t>
      </w:r>
      <w:hyperlink r:id="rId32">
        <w:r>
          <w:rPr>
            <w:rStyle w:val="Hyperlink"/>
            <w:rFonts w:ascii="Times New Roman" w:hAnsi="Times New Roman"/>
            <w:b w:val="false"/>
            <w:i w:val="false"/>
            <w:color w:val="000000"/>
            <w:sz w:val="22"/>
          </w:rPr>
          <w:t>125.44</w:t>
        </w:r>
      </w:hyperlink>
      <w:r>
        <w:rPr>
          <w:rFonts w:ascii="Times New Roman" w:hAnsi="Times New Roman"/>
          <w:b w:val="false"/>
          <w:i w:val="false"/>
          <w:color w:val="000000"/>
          <w:sz w:val="22"/>
        </w:rPr>
        <w:t>. Qualifying programs shall utilize a sliding fee schedule approved by the department to determine cost of treatment. There is no prohibition on any individual from paying in whole the cost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157.4(3)</w:t>
      </w:r>
      <w:r>
        <w:rPr>
          <w:rFonts w:ascii="Times New Roman" w:hAnsi="Times New Roman"/>
          <w:b w:val="false"/>
          <w:i w:val="false"/>
          <w:color w:val="000000"/>
          <w:sz w:val="22"/>
        </w:rPr>
        <w:t> </w:t>
      </w:r>
      <w:r>
        <w:rPr>
          <w:rFonts w:ascii="Times New Roman" w:hAnsi="Times New Roman"/>
          <w:b w:val="false"/>
          <w:i/>
          <w:color w:val="000000"/>
          <w:sz w:val="22"/>
        </w:rPr>
        <w:t xml:space="preserve">Reimbursement. </w:t>
      </w:r>
      <w:r>
        <w:rPr>
          <w:rFonts w:ascii="Times New Roman" w:hAnsi="Times New Roman"/>
          <w:b w:val="false"/>
          <w:i w:val="false"/>
          <w:color w:val="000000"/>
          <w:sz w:val="22"/>
        </w:rPr>
        <w:t>Programs shall be able to seek reimbursement of the cost of screening, evaluation and treatment from an individual’s insurance company, firm or corporation bound to pay, or from Medicaid for an individual who is eligible or enrolled in Medicaid.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9179C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641—157.5</w:t>
      </w:r>
      <w:r>
        <w:rPr>
          <w:rFonts w:ascii="Times New Roman" w:hAnsi="Times New Roman"/>
          <w:b/>
          <w:i w:val="false"/>
          <w:color w:val="000000"/>
          <w:sz w:val="22"/>
        </w:rPr>
        <w:t xml:space="preserve">(125) </w:t>
      </w:r>
      <w:r>
        <w:rPr>
          <w:rFonts w:ascii="Times New Roman" w:hAnsi="Times New Roman"/>
          <w:b/>
          <w:i w:val="false"/>
          <w:color w:val="000000"/>
          <w:sz w:val="22"/>
        </w:rPr>
        <w:t xml:space="preserve">Timeliness. </w:t>
      </w:r>
      <w:r>
        <w:rPr>
          <w:rFonts w:ascii="Times New Roman" w:hAnsi="Times New Roman"/>
          <w:b w:val="false"/>
          <w:i w:val="false"/>
          <w:color w:val="000000"/>
          <w:sz w:val="22"/>
        </w:rPr>
        <w:t>The program shall conduct and complete substance abuse evaluations and treatment at the program’s earliest convenience.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9179C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641—157.6</w:t>
      </w:r>
      <w:r>
        <w:rPr>
          <w:rFonts w:ascii="Times New Roman" w:hAnsi="Times New Roman"/>
          <w:b/>
          <w:i w:val="false"/>
          <w:color w:val="000000"/>
          <w:sz w:val="22"/>
        </w:rPr>
        <w:t xml:space="preserve">(125)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Programs will abide by the standards for patient records set forth in rule </w:t>
      </w:r>
      <w:hyperlink r:id="rId33">
        <w:r>
          <w:rPr>
            <w:rStyle w:val="Hyperlink"/>
            <w:rFonts w:ascii="Times New Roman" w:hAnsi="Times New Roman"/>
            <w:b w:val="false"/>
            <w:i w:val="false"/>
            <w:color w:val="000000"/>
            <w:sz w:val="22"/>
          </w:rPr>
          <w:t>641—155.21</w:t>
        </w:r>
      </w:hyperlink>
      <w:r>
        <w:rPr>
          <w:rFonts w:ascii="Times New Roman" w:hAnsi="Times New Roman"/>
          <w:b w:val="false"/>
          <w:i w:val="false"/>
          <w:color w:val="000000"/>
          <w:sz w:val="22"/>
        </w:rPr>
        <w:t>(125,135).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9179C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641—157.7</w:t>
      </w:r>
      <w:r>
        <w:rPr>
          <w:rFonts w:ascii="Times New Roman" w:hAnsi="Times New Roman"/>
          <w:b/>
          <w:i w:val="false"/>
          <w:color w:val="000000"/>
          <w:sz w:val="22"/>
        </w:rPr>
        <w:t xml:space="preserve">(125)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Programs shall maintain records in accordance with </w:t>
      </w:r>
      <w:hyperlink r:id="rId34">
        <w:r>
          <w:rPr>
            <w:rStyle w:val="Hyperlink"/>
            <w:rFonts w:ascii="Times New Roman" w:hAnsi="Times New Roman"/>
            <w:b w:val="false"/>
            <w:i w:val="false"/>
            <w:color w:val="000000"/>
            <w:sz w:val="22"/>
          </w:rPr>
          <w:t>641—subrule 155.21(10)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9179C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641—157.8</w:t>
      </w:r>
      <w:r>
        <w:rPr>
          <w:rFonts w:ascii="Times New Roman" w:hAnsi="Times New Roman"/>
          <w:b/>
          <w:i w:val="false"/>
          <w:color w:val="000000"/>
          <w:sz w:val="22"/>
        </w:rPr>
        <w:t xml:space="preserve">(125) </w:t>
      </w:r>
      <w:r>
        <w:rPr>
          <w:rFonts w:ascii="Times New Roman" w:hAnsi="Times New Roman"/>
          <w:b/>
          <w:i w:val="false"/>
          <w:color w:val="000000"/>
          <w:sz w:val="22"/>
        </w:rPr>
        <w:t xml:space="preserve">Reciprocity. </w:t>
      </w:r>
      <w:r>
        <w:rPr>
          <w:rFonts w:ascii="Times New Roman" w:hAnsi="Times New Roman"/>
          <w:b w:val="false"/>
          <w:i w:val="false"/>
          <w:color w:val="000000"/>
          <w:sz w:val="22"/>
        </w:rPr>
        <w:t>For a resident of a state other than Iowa or an Iowa resident obtaining evaluation or treatment outside the state, screening, evaluation or treatment services shall be provided by programs licensed or approved by that state’s substance abuse authority. Programs shall submit the results of the screening, evaluation and treatment to the department for review and reporting purposes to the department of transportation.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9179C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35">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1/23/98, Notice 11/19/97—published 2/11/98, effective 3/18/98]</w:t>
      </w:r>
    </w:p>
    <w:p>
      <w:pPr>
        <w:spacing w:before="0" w:after="0"/>
        <w:ind w:left="120"/>
        <w:jc w:val="center"/>
      </w:pPr>
      <w:r>
        <w:rPr>
          <w:rFonts w:ascii="Times New Roman" w:hAnsi="Times New Roman"/>
          <w:b w:val="false"/>
          <w:i w:val="false"/>
          <w:color w:val="000000"/>
          <w:sz w:val="21"/>
        </w:rPr>
        <w:t>[Filed 3/9/06, Notice 2/1/06—published 3/29/06, effective 5/3/06]</w:t>
      </w:r>
    </w:p>
    <w:p>
      <w:pPr>
        <w:spacing w:before="0" w:after="0"/>
        <w:ind w:left="120"/>
        <w:jc w:val="center"/>
      </w:pPr>
      <w:r>
        <w:rPr>
          <w:rFonts w:ascii="Times New Roman" w:hAnsi="Times New Roman"/>
          <w:b w:val="false"/>
          <w:i w:val="false"/>
          <w:color w:val="000000"/>
          <w:sz w:val="21"/>
        </w:rPr>
        <w:t>[Filed 7/13/07, Notice 4/11/07—published 8/1/07, effective 9/5/07]</w:t>
      </w:r>
    </w:p>
    <w:p>
      <w:pPr>
        <w:spacing w:before="0" w:after="0"/>
        <w:ind w:left="120"/>
        <w:jc w:val="center"/>
      </w:pPr>
      <w:r>
        <w:rPr>
          <w:rFonts w:ascii="Times New Roman" w:hAnsi="Times New Roman"/>
          <w:b w:val="false"/>
          <w:i w:val="false"/>
          <w:color w:val="000000"/>
          <w:sz w:val="21"/>
        </w:rPr>
        <w:t>[Filed ARC 8796B</w:t>
      </w:r>
      <w:r>
        <w:rPr>
          <w:rFonts w:ascii="Times New Roman" w:hAnsi="Times New Roman"/>
          <w:b w:val="false"/>
          <w:i w:val="false"/>
          <w:color w:val="000000"/>
          <w:sz w:val="21"/>
        </w:rPr>
        <w:t xml:space="preserve"> (Notice ARC 8629B, IAB 3/24/10)</w:t>
      </w:r>
      <w:r>
        <w:rPr>
          <w:rFonts w:ascii="Times New Roman" w:hAnsi="Times New Roman"/>
          <w:b w:val="false"/>
          <w:i w:val="false"/>
          <w:color w:val="000000"/>
          <w:sz w:val="21"/>
        </w:rPr>
        <w:t>, IAB 6/2/10, effective 7/7/10]</w:t>
      </w:r>
    </w:p>
    <w:p>
      <w:pPr>
        <w:spacing w:before="0" w:after="0"/>
        <w:ind w:left="120"/>
        <w:jc w:val="center"/>
      </w:pPr>
      <w:r>
        <w:rPr>
          <w:rFonts w:ascii="Times New Roman" w:hAnsi="Times New Roman"/>
          <w:b w:val="false"/>
          <w:i w:val="false"/>
          <w:color w:val="000000"/>
          <w:sz w:val="21"/>
        </w:rPr>
        <w:t>[Filed ARC 9179C</w:t>
      </w:r>
      <w:r>
        <w:rPr>
          <w:rFonts w:ascii="Times New Roman" w:hAnsi="Times New Roman"/>
          <w:b w:val="false"/>
          <w:i w:val="false"/>
          <w:color w:val="000000"/>
          <w:sz w:val="21"/>
        </w:rPr>
        <w:t xml:space="preserve"> (Notice ARC 8517C, IAB 12/11/24)</w:t>
      </w:r>
      <w:r>
        <w:rPr>
          <w:rFonts w:ascii="Times New Roman" w:hAnsi="Times New Roman"/>
          <w:b w:val="false"/>
          <w:i w:val="false"/>
          <w:color w:val="000000"/>
          <w:sz w:val="21"/>
        </w:rPr>
        <w:t>, IAB 4/30/25, effective 7/1/25]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J.1.pdf" Type="http://schemas.openxmlformats.org/officeDocument/2006/relationships/hyperlink" Id="rId5"/>
    <Relationship TargetMode="External" Target="https://www.legis.iowa.gov/docs/ico/chapter/321J.17.pdf" Type="http://schemas.openxmlformats.org/officeDocument/2006/relationships/hyperlink" Id="rId6"/>
    <Relationship TargetMode="External" Target="https://www.legis.iowa.gov/docs/ico/chapter/321J.2.pdf" Type="http://schemas.openxmlformats.org/officeDocument/2006/relationships/hyperlink" Id="rId7"/>
    <Relationship TargetMode="External" Target="https://www.legis.iowa.gov/docs/ico/chapter/321J.17.pdf" Type="http://schemas.openxmlformats.org/officeDocument/2006/relationships/hyperlink" Id="rId8"/>
    <Relationship TargetMode="External" Target="https://www.legis.iowa.gov/docs/ico/chapter/125.pdf" Type="http://schemas.openxmlformats.org/officeDocument/2006/relationships/hyperlink" Id="rId9"/>
    <Relationship TargetMode="External" Target="https://www.legis.iowa.gov/docs/ico/chapter/125.pdf" Type="http://schemas.openxmlformats.org/officeDocument/2006/relationships/hyperlink" Id="rId10"/>
    <Relationship TargetMode="External" Target="https://www.legis.iowa.gov/docs/iac/rule/281.21.31.pdf" Type="http://schemas.openxmlformats.org/officeDocument/2006/relationships/hyperlink" Id="rId11"/>
    <Relationship TargetMode="External" Target="https://www.legis.iowa.gov/docs/iac/chapter/641.155.pdf" Type="http://schemas.openxmlformats.org/officeDocument/2006/relationships/hyperlink" Id="rId12"/>
    <Relationship TargetMode="External" Target="https://www.legis.iowa.gov/docs/ico/chapter/321J.2.pdf" Type="http://schemas.openxmlformats.org/officeDocument/2006/relationships/hyperlink" Id="rId13"/>
    <Relationship TargetMode="External" Target="https://www.legis.iowa.gov/docs/ico/chapter/321J.pdf" Type="http://schemas.openxmlformats.org/officeDocument/2006/relationships/hyperlink" Id="rId14"/>
    <Relationship TargetMode="External" Target="https://www.legis.iowa.gov/docs/ico/chapter/125.pdf" Type="http://schemas.openxmlformats.org/officeDocument/2006/relationships/hyperlink" Id="rId15"/>
    <Relationship TargetMode="External" Target="https://www.legis.iowa.gov/docs/ico/chapter/125.pdf" Type="http://schemas.openxmlformats.org/officeDocument/2006/relationships/hyperlink" Id="rId16"/>
    <Relationship TargetMode="External" Target="https://www.legis.iowa.gov/docs/ico/chapter/125.pdf" Type="http://schemas.openxmlformats.org/officeDocument/2006/relationships/hyperlink" Id="rId17"/>
    <Relationship TargetMode="External" Target="https://www.legis.iowa.gov/docs/ico/chapter/321J.22.pdf" Type="http://schemas.openxmlformats.org/officeDocument/2006/relationships/hyperlink" Id="rId18"/>
    <Relationship TargetMode="External" Target="https://www.legis.iowa.gov/docs/iac/rule/281.21.31.pdf" Type="http://schemas.openxmlformats.org/officeDocument/2006/relationships/hyperlink" Id="rId19"/>
    <Relationship TargetMode="External" Target="https://www.legis.iowa.gov/docs/ico/chapter/125.37.pdf" Type="http://schemas.openxmlformats.org/officeDocument/2006/relationships/hyperlink" Id="rId20"/>
    <Relationship TargetMode="External" Target="https://www.legis.iowa.gov/docs/ico/chapter/125.84.pdf" Type="http://schemas.openxmlformats.org/officeDocument/2006/relationships/hyperlink" Id="rId21"/>
    <Relationship TargetMode="External" Target="https://www.legis.iowa.gov/docs/ico/chapter/125.86.pdf" Type="http://schemas.openxmlformats.org/officeDocument/2006/relationships/hyperlink" Id="rId22"/>
    <Relationship TargetMode="External" Target="https://www.legis.iowa.gov/docs/ico/chapter/321J.22.pdf" Type="http://schemas.openxmlformats.org/officeDocument/2006/relationships/hyperlink" Id="rId23"/>
    <Relationship TargetMode="External" Target="https://www.legis.iowa.gov/docs/iac/rule/281.21.31.pdf" Type="http://schemas.openxmlformats.org/officeDocument/2006/relationships/hyperlink" Id="rId24"/>
    <Relationship TargetMode="External" Target="https://www.legis.iowa.gov/docs/ico/chapter/125.pdf" Type="http://schemas.openxmlformats.org/officeDocument/2006/relationships/hyperlink" Id="rId25"/>
    <Relationship TargetMode="External" Target="https://www.legis.iowa.gov/docs/ico/chapter/321J.22.pdf" Type="http://schemas.openxmlformats.org/officeDocument/2006/relationships/hyperlink" Id="rId26"/>
    <Relationship TargetMode="External" Target="https://www.legis.iowa.gov/docs/ico/chapter/321J.22.pdf" Type="http://schemas.openxmlformats.org/officeDocument/2006/relationships/hyperlink" Id="rId27"/>
    <Relationship TargetMode="External" Target="https://www.legis.iowa.gov/docs/ico/chapter/125.pdf" Type="http://schemas.openxmlformats.org/officeDocument/2006/relationships/hyperlink" Id="rId28"/>
    <Relationship TargetMode="External" Target="https://www.legis.iowa.gov/docs/ico/chapter/321J.22.pdf" Type="http://schemas.openxmlformats.org/officeDocument/2006/relationships/hyperlink" Id="rId29"/>
    <Relationship TargetMode="External" Target="https://www.legis.iowa.gov/docs/iac/rule/281.21.31.pdf" Type="http://schemas.openxmlformats.org/officeDocument/2006/relationships/hyperlink" Id="rId30"/>
    <Relationship TargetMode="External" Target="https://www.legis.iowa.gov/docs/ico/chapter/321J.3.pdf" Type="http://schemas.openxmlformats.org/officeDocument/2006/relationships/hyperlink" Id="rId31"/>
    <Relationship TargetMode="External" Target="https://www.legis.iowa.gov/docs/ico/chapter/125.44.pdf" Type="http://schemas.openxmlformats.org/officeDocument/2006/relationships/hyperlink" Id="rId32"/>
    <Relationship TargetMode="External" Target="https://www.legis.iowa.gov/docs/iac/rule/641.155.21.pdf" Type="http://schemas.openxmlformats.org/officeDocument/2006/relationships/hyperlink" Id="rId33"/>
    <Relationship TargetMode="External" Target="https://www.legis.iowa.gov/docs/iac/rule/641.155.21.pdf" Type="http://schemas.openxmlformats.org/officeDocument/2006/relationships/hyperlink" Id="rId34"/>
    <Relationship TargetMode="External" Target="https://www.legis.iowa.gov/docs/ico/chapter/125.13.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