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156</w:t>
      </w:r>
    </w:p>
    <w:p>
      <w:pPr>
        <w:spacing w:before="0" w:after="0"/>
        <w:ind w:left="120"/>
        <w:jc w:val="center"/>
      </w:pPr>
      <w:r>
        <w:rPr>
          <w:rFonts w:ascii="Times New Roman" w:hAnsi="Times New Roman"/>
          <w:b w:val="false"/>
          <w:i w:val="false"/>
          <w:color w:val="000000"/>
          <w:sz w:val="21"/>
        </w:rPr>
        <w:t>CONSUMABLE HEMP PRODUCTS</w:t>
      </w:r>
    </w:p>
    <w:p>
      <w:pPr>
        <w:spacing w:before="0" w:after="0"/>
        <w:ind w:left="120"/>
        <w:jc w:val="center"/>
      </w:pPr>
      <w:r>
        <w:rPr>
          <w:rFonts w:ascii="Times New Roman" w:hAnsi="Times New Roman"/>
          <w:b w:val="false"/>
          <w:i w:val="false"/>
          <w:color w:val="000000"/>
          <w:sz w:val="14"/>
        </w:rPr>
        <w:t>[Prior to 6/14/23, see Inspections and Appeals Department[481] Ch 32]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7/17/29</w:t>
      </w:r>
    </w:p>
    <w:p>
      <w:pPr>
        <w:spacing w:before="0" w:after="0"/>
        <w:ind w:left="120"/>
        <w:jc w:val="both"/>
      </w:pPr>
      <w:r>
        <w:rPr>
          <w:rFonts w:ascii="Times New Roman" w:hAnsi="Times New Roman"/>
          <w:b/>
          <w:i w:val="false"/>
          <w:color w:val="000000"/>
          <w:sz w:val="22"/>
        </w:rPr>
        <w:t>641—156.1</w:t>
      </w:r>
      <w:r>
        <w:rPr>
          <w:rFonts w:ascii="Times New Roman" w:hAnsi="Times New Roman"/>
          <w:b/>
          <w:i w:val="false"/>
          <w:color w:val="000000"/>
          <w:sz w:val="22"/>
        </w:rPr>
        <w:t xml:space="preserve">(204)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these rules, the following terms have the meanings indicated in this chapter. The definitions set out in Iowa Code section </w:t>
      </w:r>
      <w:hyperlink r:id="rId5">
        <w:r>
          <w:rPr>
            <w:rStyle w:val="Hyperlink"/>
            <w:rFonts w:ascii="Times New Roman" w:hAnsi="Times New Roman"/>
            <w:b w:val="false"/>
            <w:i w:val="false"/>
            <w:color w:val="000000"/>
            <w:sz w:val="22"/>
          </w:rPr>
          <w:t>204.2</w:t>
        </w:r>
      </w:hyperlink>
      <w:r>
        <w:rPr>
          <w:rFonts w:ascii="Times New Roman" w:hAnsi="Times New Roman"/>
          <w:b w:val="false"/>
          <w:i w:val="false"/>
          <w:color w:val="000000"/>
          <w:sz w:val="22"/>
        </w:rPr>
        <w:t xml:space="preserve"> are incorporated verbatim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“Accredited laboratory”</w:t>
      </w:r>
      <w:r>
        <w:rPr>
          <w:rFonts w:ascii="Times New Roman" w:hAnsi="Times New Roman"/>
          <w:b w:val="false"/>
          <w:i w:val="false"/>
          <w:color w:val="000000"/>
          <w:sz w:val="22"/>
        </w:rPr>
        <w:t> </w:t>
      </w:r>
      <w:r>
        <w:rPr>
          <w:rFonts w:ascii="Times New Roman" w:hAnsi="Times New Roman"/>
          <w:b w:val="false"/>
          <w:i w:val="false"/>
          <w:color w:val="000000"/>
          <w:sz w:val="22"/>
        </w:rPr>
        <w:t>means a laboratory accredited in accordance with the International Organization for Standardization/International Electrotechnical Commission (ISO/IEC) Standard 17025:2017 (July 17, 2024) by an International Laboratory Accreditation Cooperation (ILAC)-recognized accreditation body for the analyses performed on consumable hemp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“Adulterated”</w:t>
      </w:r>
      <w:r>
        <w:rPr>
          <w:rFonts w:ascii="Times New Roman" w:hAnsi="Times New Roman"/>
          <w:b w:val="false"/>
          <w:i w:val="false"/>
          <w:color w:val="000000"/>
          <w:sz w:val="22"/>
        </w:rPr>
        <w:t> </w:t>
      </w:r>
      <w:r>
        <w:rPr>
          <w:rFonts w:ascii="Times New Roman" w:hAnsi="Times New Roman"/>
          <w:b w:val="false"/>
          <w:i w:val="false"/>
          <w:color w:val="000000"/>
          <w:sz w:val="22"/>
        </w:rPr>
        <w:t>means the same as in 21 U.S.C. Section 342(a)(4) (as amended to July 17, 2024), except that a consumable hemp product is not deemed “adulterated” pursuant to this chapter solely because it contains a hemp product not generally recognized as safe (GRAS) by the federal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hemp source”</w:t>
      </w:r>
      <w:r>
        <w:rPr>
          <w:rFonts w:ascii="Times New Roman" w:hAnsi="Times New Roman"/>
          <w:b w:val="false"/>
          <w:i w:val="false"/>
          <w:color w:val="000000"/>
          <w:sz w:val="22"/>
        </w:rPr>
        <w:t> </w:t>
      </w:r>
      <w:r>
        <w:rPr>
          <w:rFonts w:ascii="Times New Roman" w:hAnsi="Times New Roman"/>
          <w:b w:val="false"/>
          <w:i w:val="false"/>
          <w:color w:val="000000"/>
          <w:sz w:val="22"/>
        </w:rPr>
        <w:t>means a manufacturer of a consumable hemp product that is engaged in the wholesale or retail sale of the product and that 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Located in this state and manufactures the consumable hemp product in compliance with Iowa Code chapter </w:t>
      </w:r>
      <w:hyperlink r:id="rId6">
        <w:r>
          <w:rPr>
            <w:rStyle w:val="Hyperlink"/>
            <w:rFonts w:ascii="Times New Roman" w:hAnsi="Times New Roman"/>
            <w:b w:val="false"/>
            <w:i w:val="false"/>
            <w:color w:val="000000"/>
            <w:sz w:val="22"/>
          </w:rPr>
          <w:t>204</w:t>
        </w:r>
      </w:hyperlink>
      <w:r>
        <w:rPr>
          <w:rFonts w:ascii="Times New Roman" w:hAnsi="Times New Roman"/>
          <w:b w:val="false"/>
          <w:i w:val="false"/>
          <w:color w:val="000000"/>
          <w:sz w:val="22"/>
        </w:rPr>
        <w:t xml:space="preserve"> and these rules;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Located in a state that has a state hemp plan approved by the United States Department of Agriculture under 7 U.S.C. Chapter 38, Subchapter VII (as amended to July 17,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“Batch”</w:t>
      </w:r>
      <w:r>
        <w:rPr>
          <w:rFonts w:ascii="Times New Roman" w:hAnsi="Times New Roman"/>
          <w:b w:val="false"/>
          <w:i w:val="false"/>
          <w:color w:val="000000"/>
          <w:sz w:val="22"/>
        </w:rPr>
        <w:t> </w:t>
      </w:r>
      <w:r>
        <w:rPr>
          <w:rFonts w:ascii="Times New Roman" w:hAnsi="Times New Roman"/>
          <w:b w:val="false"/>
          <w:i w:val="false"/>
          <w:color w:val="000000"/>
          <w:sz w:val="22"/>
        </w:rPr>
        <w:t>means a specific quantity of a consumable hemp product that contains a lot number; is uniform and intended to meet specifications for identity, strength, purity, and composition; and is manufactured, packaged, and labeled during a specified time period according to a single manufacturing, packaging, and labeling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“Cannabidiol”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“CBD”</w:t>
      </w:r>
      <w:r>
        <w:rPr>
          <w:rFonts w:ascii="Times New Roman" w:hAnsi="Times New Roman"/>
          <w:b w:val="false"/>
          <w:i w:val="false"/>
          <w:color w:val="000000"/>
          <w:sz w:val="22"/>
        </w:rPr>
        <w:t> </w:t>
      </w:r>
      <w:r>
        <w:rPr>
          <w:rFonts w:ascii="Times New Roman" w:hAnsi="Times New Roman"/>
          <w:b w:val="false"/>
          <w:i w:val="false"/>
          <w:color w:val="000000"/>
          <w:sz w:val="22"/>
        </w:rPr>
        <w:t>means the specific chemical compound with the Chemical Abstracts Service number 13956-29-1.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 of analysis”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“COA”</w:t>
      </w:r>
      <w:r>
        <w:rPr>
          <w:rFonts w:ascii="Times New Roman" w:hAnsi="Times New Roman"/>
          <w:b w:val="false"/>
          <w:i w:val="false"/>
          <w:color w:val="000000"/>
          <w:sz w:val="22"/>
        </w:rPr>
        <w:t> </w:t>
      </w:r>
      <w:r>
        <w:rPr>
          <w:rFonts w:ascii="Times New Roman" w:hAnsi="Times New Roman"/>
          <w:b w:val="false"/>
          <w:i w:val="false"/>
          <w:color w:val="000000"/>
          <w:sz w:val="22"/>
        </w:rPr>
        <w:t>means an official document released by an accredited laboratory following an analysis of a consumable hemp product. The certificate of analysis contains all of the concentrations of cannabinoids, pesticides, residual solvents, metals, harmful pathogens, toxicants, and synthetic or semisynthetic cannabinoids, including data on levels of total delta-9 tetrahydrocannabinol content concentration and whether a sample passed or failed any limits related to these analyses.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 of free sale”</w:t>
      </w:r>
      <w:r>
        <w:rPr>
          <w:rFonts w:ascii="Times New Roman" w:hAnsi="Times New Roman"/>
          <w:b w:val="false"/>
          <w:i w:val="false"/>
          <w:color w:val="000000"/>
          <w:sz w:val="22"/>
        </w:rPr>
        <w:t> </w:t>
      </w:r>
      <w:r>
        <w:rPr>
          <w:rFonts w:ascii="Times New Roman" w:hAnsi="Times New Roman"/>
          <w:b w:val="false"/>
          <w:i w:val="false"/>
          <w:color w:val="000000"/>
          <w:sz w:val="22"/>
        </w:rPr>
        <w:t>means a government certification that products such as food, drugs, medicine, or cosmetics are approved for unrestricted sale in the jurisdiction in which they originate.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“Consumable hemp establishment”</w:t>
      </w:r>
      <w:r>
        <w:rPr>
          <w:rFonts w:ascii="Times New Roman" w:hAnsi="Times New Roman"/>
          <w:b w:val="false"/>
          <w:i w:val="false"/>
          <w:color w:val="000000"/>
          <w:sz w:val="22"/>
        </w:rPr>
        <w:t> </w:t>
      </w:r>
      <w:r>
        <w:rPr>
          <w:rFonts w:ascii="Times New Roman" w:hAnsi="Times New Roman"/>
          <w:b w:val="false"/>
          <w:i w:val="false"/>
          <w:color w:val="000000"/>
          <w:sz w:val="22"/>
        </w:rPr>
        <w:t>means an individual or entity engaged in manufacturing, processing, packing, holding, preparing, distributing, or selling a consumable hemp product in Iowa or to purchasers located in Iowa. A consumable hemp establishment does not include an individual or entity manufacturing, processing, packing, holding, preparing, distributing, or selling a consumable hemp product containing only hemp seed or hemp seed-derived food ingredients GRAS under the conditions of use by the federal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“Consumable hemp manufacturer”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consumable hemp establishment engaged in manufacturing, processing, packing, holding, preparing, distributing, or selling a consumable hemp product on a wholesale basis. A consumable hemp manufacturer includes individuals and entities outside of Iowa that distribute consumable hemp products in Iowa. A consumable hemp manufacturer does not include individuals or entities exclusively engaged in the harvesting, storage, or distribution of raw hemp.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“Consumable hemp retailer”</w:t>
      </w:r>
      <w:r>
        <w:rPr>
          <w:rFonts w:ascii="Times New Roman" w:hAnsi="Times New Roman"/>
          <w:b w:val="false"/>
          <w:i w:val="false"/>
          <w:color w:val="000000"/>
          <w:sz w:val="22"/>
        </w:rPr>
        <w:t> </w:t>
      </w:r>
      <w:r>
        <w:rPr>
          <w:rFonts w:ascii="Times New Roman" w:hAnsi="Times New Roman"/>
          <w:b w:val="false"/>
          <w:i w:val="false"/>
          <w:color w:val="000000"/>
          <w:sz w:val="22"/>
        </w:rPr>
        <w:t>means a consumable hemp establishment selling consumable hemp product to consumers on a retail basis. A consumable hemp retailer includes an establishment selling consumable hemp products online.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“Container”</w:t>
      </w:r>
      <w:r>
        <w:rPr>
          <w:rFonts w:ascii="Times New Roman" w:hAnsi="Times New Roman"/>
          <w:b w:val="false"/>
          <w:i w:val="false"/>
          <w:color w:val="000000"/>
          <w:sz w:val="22"/>
        </w:rPr>
        <w:t> </w:t>
      </w:r>
      <w:r>
        <w:rPr>
          <w:rFonts w:ascii="Times New Roman" w:hAnsi="Times New Roman"/>
          <w:b w:val="false"/>
          <w:i w:val="false"/>
          <w:color w:val="000000"/>
          <w:sz w:val="22"/>
        </w:rPr>
        <w:t>means the object that holds one or more servings of a consumable hemp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“Delta-9 tetrahydrocannabinol”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“THC”</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specific chemical compound with the Chemical Abstracts Service number 1972-08-3.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“Expiration date”</w:t>
      </w:r>
      <w:r>
        <w:rPr>
          <w:rFonts w:ascii="Times New Roman" w:hAnsi="Times New Roman"/>
          <w:b w:val="false"/>
          <w:i w:val="false"/>
          <w:color w:val="000000"/>
          <w:sz w:val="22"/>
        </w:rPr>
        <w:t> </w:t>
      </w:r>
      <w:r>
        <w:rPr>
          <w:rFonts w:ascii="Times New Roman" w:hAnsi="Times New Roman"/>
          <w:b w:val="false"/>
          <w:i w:val="false"/>
          <w:color w:val="000000"/>
          <w:sz w:val="22"/>
        </w:rPr>
        <w:t>means the month and year as determined by the manufacturer, packer, or distributor on the basis of tests showing that the product, until that date, under the conditions of handling, storage, preparation, and use per label directions, will, when consumed, contain not less than the quantity of each ingredient as set forth on its label.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“Food”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137F.1</w:t>
        </w:r>
      </w:hyperlink>
      <w:r>
        <w:rPr>
          <w:rFonts w:ascii="Times New Roman" w:hAnsi="Times New Roman"/>
          <w:b w:val="false"/>
          <w:i w:val="false"/>
          <w:color w:val="000000"/>
          <w:sz w:val="22"/>
        </w:rPr>
        <w:t>. Food includes human dietary supplements and alcoholic beverages.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“Harvesting”</w:t>
      </w:r>
      <w:r>
        <w:rPr>
          <w:rFonts w:ascii="Times New Roman" w:hAnsi="Times New Roman"/>
          <w:b w:val="false"/>
          <w:i w:val="false"/>
          <w:color w:val="000000"/>
          <w:sz w:val="22"/>
        </w:rPr>
        <w:t> </w:t>
      </w:r>
      <w:r>
        <w:rPr>
          <w:rFonts w:ascii="Times New Roman" w:hAnsi="Times New Roman"/>
          <w:b w:val="false"/>
          <w:i w:val="false"/>
          <w:color w:val="000000"/>
          <w:sz w:val="22"/>
        </w:rPr>
        <w:t>applies to farms and farm mixed-type facilities and means activities that are traditionally performed on farms for the purpose of removing raw agricultural commodities from the place they were grown or raised and preparing them for use as food. Harvesting is limited to activities performed on raw agricultural commodities, or on processed foods created by drying/dehydrating a raw agricultural commodity without additional manufacturing/processing, on a farm. Harvesting does not include activities that transform a raw agricultural commodity into a processed food as defined in Section 201(gg) of the federal Food, Drug, and Cosmetic Act (as amended to July 17,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“Jurisdiction of origin”</w:t>
      </w:r>
      <w:r>
        <w:rPr>
          <w:rFonts w:ascii="Times New Roman" w:hAnsi="Times New Roman"/>
          <w:b w:val="false"/>
          <w:i w:val="false"/>
          <w:color w:val="000000"/>
          <w:sz w:val="22"/>
        </w:rPr>
        <w:t> </w:t>
      </w:r>
      <w:r>
        <w:rPr>
          <w:rFonts w:ascii="Times New Roman" w:hAnsi="Times New Roman"/>
          <w:b w:val="false"/>
          <w:i w:val="false"/>
          <w:color w:val="000000"/>
          <w:sz w:val="22"/>
        </w:rPr>
        <w:t>means the federal, state, or local regulatory jurisdiction that has the authority to conduct inspections of the facility in which a consumable hemp product was most recently subject to a manufacturing/processing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“Lot number”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specific quantity of raw hemp or processed hemp product that is uniform and intended to meet specifications for identity, strength, purity, and composition that contains the manufacturer’s, processor’s, or distributor’s number and a sequence to allow for inventory, traceability, and identification of the plant batches used in the production of consumable hemp products.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“Manufacturing/processing”</w:t>
      </w:r>
      <w:r>
        <w:rPr>
          <w:rFonts w:ascii="Times New Roman" w:hAnsi="Times New Roman"/>
          <w:b w:val="false"/>
          <w:i w:val="false"/>
          <w:color w:val="000000"/>
          <w:sz w:val="22"/>
        </w:rPr>
        <w:t> </w:t>
      </w:r>
      <w:r>
        <w:rPr>
          <w:rFonts w:ascii="Times New Roman" w:hAnsi="Times New Roman"/>
          <w:b w:val="false"/>
          <w:i w:val="false"/>
          <w:color w:val="000000"/>
          <w:sz w:val="22"/>
        </w:rPr>
        <w:t>means making food from one or more ingredients or synthesizing, preparing, treating, modifying or manipulating food, including food crops or ingredients. For farms and farm mixed-type facilities, manufacturing/processing does not include activities that are part of harvesting, packing, or holding.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“Misbranded”</w:t>
      </w:r>
      <w:r>
        <w:rPr>
          <w:rFonts w:ascii="Times New Roman" w:hAnsi="Times New Roman"/>
          <w:b w:val="false"/>
          <w:i w:val="false"/>
          <w:color w:val="000000"/>
          <w:sz w:val="22"/>
        </w:rPr>
        <w:t> </w:t>
      </w:r>
      <w:r>
        <w:rPr>
          <w:rFonts w:ascii="Times New Roman" w:hAnsi="Times New Roman"/>
          <w:b w:val="false"/>
          <w:i w:val="false"/>
          <w:color w:val="000000"/>
          <w:sz w:val="22"/>
        </w:rPr>
        <w:t>means a food that violates 21 U.S.C. Section 343 (as amended to July 17,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“QR code”</w:t>
      </w:r>
      <w:r>
        <w:rPr>
          <w:rFonts w:ascii="Times New Roman" w:hAnsi="Times New Roman"/>
          <w:b w:val="false"/>
          <w:i w:val="false"/>
          <w:color w:val="000000"/>
          <w:sz w:val="22"/>
        </w:rPr>
        <w:t> </w:t>
      </w:r>
      <w:r>
        <w:rPr>
          <w:rFonts w:ascii="Times New Roman" w:hAnsi="Times New Roman"/>
          <w:b w:val="false"/>
          <w:i w:val="false"/>
          <w:color w:val="000000"/>
          <w:sz w:val="22"/>
        </w:rPr>
        <w:t>means a quick response machine-readable code that can be read by a camera, consisting of an array of black and white squares used for storing information or directing or leading a user to product information regarding manufacturer data and accredited laboratory certificates of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“Raw agricultural commodity”</w:t>
      </w:r>
      <w:r>
        <w:rPr>
          <w:rFonts w:ascii="Times New Roman" w:hAnsi="Times New Roman"/>
          <w:b w:val="false"/>
          <w:i w:val="false"/>
          <w:color w:val="000000"/>
          <w:sz w:val="22"/>
        </w:rPr>
        <w:t> </w:t>
      </w:r>
      <w:r>
        <w:rPr>
          <w:rFonts w:ascii="Times New Roman" w:hAnsi="Times New Roman"/>
          <w:b w:val="false"/>
          <w:i w:val="false"/>
          <w:color w:val="000000"/>
          <w:sz w:val="22"/>
        </w:rPr>
        <w:t>means any food in its raw or natural state, including all fruits that are washed, colored, or otherwise treated in their unpeeled natural form prior to marketing.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“Raw hemp”</w:t>
      </w:r>
      <w:r>
        <w:rPr>
          <w:rFonts w:ascii="Times New Roman" w:hAnsi="Times New Roman"/>
          <w:b w:val="false"/>
          <w:i w:val="false"/>
          <w:color w:val="000000"/>
          <w:sz w:val="22"/>
        </w:rPr>
        <w:t> </w:t>
      </w:r>
      <w:r>
        <w:rPr>
          <w:rFonts w:ascii="Times New Roman" w:hAnsi="Times New Roman"/>
          <w:b w:val="false"/>
          <w:i w:val="false"/>
          <w:color w:val="000000"/>
          <w:sz w:val="22"/>
        </w:rPr>
        <w:t>means an unprocessed hemp plant, or any part of the hemp plant, in its raw or natural state. Raw hemp is a raw agricultural commodity.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“Serving”</w:t>
      </w:r>
      <w:r>
        <w:rPr>
          <w:rFonts w:ascii="Times New Roman" w:hAnsi="Times New Roman"/>
          <w:b w:val="false"/>
          <w:i w:val="false"/>
          <w:color w:val="000000"/>
          <w:sz w:val="22"/>
        </w:rPr>
        <w:t> </w:t>
      </w:r>
      <w:r>
        <w:rPr>
          <w:rFonts w:ascii="Times New Roman" w:hAnsi="Times New Roman"/>
          <w:b w:val="false"/>
          <w:i w:val="false"/>
          <w:color w:val="000000"/>
          <w:sz w:val="22"/>
        </w:rPr>
        <w:t>means the size or portion customarily consumed per eating occasion, expressed in a common household measure as established in table 2 of 21 CFR 101.12 (as amended to July 17, 2024). If a solid consumable hemp product is packaged in a manner that includes more than a single serving, each serving must be clearly identified and severable from the other servings in the container. If a liquid consumable hemp product is packaged in a manner that includes more than a single serving, the number of servings must be conspicuously labeled. Liquid consumable hemp products shall be packaged in a container that holds a minimum of 12 fluid ounces.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“Synthetic consumable hemp products”</w:t>
      </w:r>
      <w:r>
        <w:rPr>
          <w:rFonts w:ascii="Times New Roman" w:hAnsi="Times New Roman"/>
          <w:b w:val="false"/>
          <w:i w:val="false"/>
          <w:color w:val="000000"/>
          <w:sz w:val="22"/>
        </w:rPr>
        <w:t> </w:t>
      </w:r>
      <w:r>
        <w:rPr>
          <w:rFonts w:ascii="Times New Roman" w:hAnsi="Times New Roman"/>
          <w:b w:val="false"/>
          <w:i w:val="false"/>
          <w:color w:val="000000"/>
          <w:sz w:val="22"/>
        </w:rPr>
        <w:t>means products containing synthetic or semisynthetic cannabinoids. Synthetic and semisynthetic cannabinoids refer to a class of cannabinoids that are created through a chemical process and are structurally similar to naturally occurring cannabinoids or cannabinoids that may occur in very small amounts naturally. Examples of synthetic consumable hemp products include but may not be limited to delta-8 tetrahydrocannabinol, delta-10 tetrahydrocannabinol, hexahydrocannabinol (HHC), tetrahydrocannabiphorol (THC-P), and tetrahydrocannabinol-O-acetate (THC-O).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“Tetrahydrocannabinolic acid”</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“THCA”</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specific chemical compound with the Chemical Abstracts Service number 23978-85-0.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“Total delta-9 tetrahydrocannabinol”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“total THC”</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87.7 percent of the amount of tetrahydrocannabinolic acid plus the amount of delta-9 tetrahydrocannabinol.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641—156.2</w:t>
      </w:r>
      <w:r>
        <w:rPr>
          <w:rFonts w:ascii="Times New Roman" w:hAnsi="Times New Roman"/>
          <w:b/>
          <w:i w:val="false"/>
          <w:color w:val="000000"/>
          <w:sz w:val="22"/>
        </w:rPr>
        <w:t xml:space="preserve">(204) </w:t>
      </w:r>
      <w:r>
        <w:rPr>
          <w:rFonts w:ascii="Times New Roman" w:hAnsi="Times New Roman"/>
          <w:b/>
          <w:i w:val="false"/>
          <w:color w:val="000000"/>
          <w:sz w:val="22"/>
        </w:rPr>
        <w:t xml:space="preserve">Registration and posting. </w:t>
      </w:r>
      <w:r>
        <w:rPr>
          <w:rFonts w:ascii="Times New Roman" w:hAnsi="Times New Roman"/>
          <w:b w:val="false"/>
          <w:i w:val="false"/>
          <w:color w:val="000000"/>
          <w:sz w:val="22"/>
        </w:rPr>
        <w:t>A consumable hemp establishment shall not engage in manufacturing, processing, packing, holding, preparing, distributing, or selling a consumable hemp product in Iowa or to purchasers located in Iowa until it has submitted a consumable hemp registration that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156.2(1)</w:t>
      </w:r>
      <w:r>
        <w:rPr>
          <w:rFonts w:ascii="Times New Roman" w:hAnsi="Times New Roman"/>
          <w:b w:val="false"/>
          <w:i w:val="false"/>
          <w:color w:val="000000"/>
          <w:sz w:val="22"/>
        </w:rPr>
        <w:t> </w:t>
      </w:r>
      <w:r>
        <w:rPr>
          <w:rFonts w:ascii="Times New Roman" w:hAnsi="Times New Roman"/>
          <w:b w:val="false"/>
          <w:i/>
          <w:color w:val="000000"/>
          <w:sz w:val="22"/>
        </w:rPr>
        <w:t xml:space="preserve">Consumable hemp manufactures/distributors. </w:t>
      </w:r>
      <w:r>
        <w:rPr>
          <w:rFonts w:ascii="Times New Roman" w:hAnsi="Times New Roman"/>
          <w:b w:val="false"/>
          <w:i w:val="false"/>
          <w:color w:val="000000"/>
          <w:sz w:val="22"/>
        </w:rPr>
        <w:t>At least 30 days prior to manufacturing, processing, packing, holding, preparing, distributing, or selling any consumable hemp product in Iowa or to purchasers located in Iowa, a consumable hemp manufacturer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the online registration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Remit the registration fee set by the department in accordance with Iowa Code section </w:t>
      </w:r>
      <w:hyperlink r:id="rId8">
        <w:r>
          <w:rPr>
            <w:rStyle w:val="Hyperlink"/>
            <w:rFonts w:ascii="Times New Roman" w:hAnsi="Times New Roman"/>
            <w:b w:val="false"/>
            <w:i w:val="false"/>
            <w:color w:val="000000"/>
            <w:sz w:val="22"/>
          </w:rPr>
          <w:t>204.7</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complete list of all consumable hemp products the consumable hemp manufacturer intends to manufacture, process, pack, hold, prepare, distribute, or sell, along with documentation of the jurisdiction of origin for each consumable hemp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156.2(2)</w:t>
      </w:r>
      <w:r>
        <w:rPr>
          <w:rFonts w:ascii="Times New Roman" w:hAnsi="Times New Roman"/>
          <w:b w:val="false"/>
          <w:i w:val="false"/>
          <w:color w:val="000000"/>
          <w:sz w:val="22"/>
        </w:rPr>
        <w:t> </w:t>
      </w:r>
      <w:r>
        <w:rPr>
          <w:rFonts w:ascii="Times New Roman" w:hAnsi="Times New Roman"/>
          <w:b w:val="false"/>
          <w:i/>
          <w:color w:val="000000"/>
          <w:sz w:val="22"/>
        </w:rPr>
        <w:t xml:space="preserve">Consumable hemp retailers. </w:t>
      </w:r>
      <w:r>
        <w:rPr>
          <w:rFonts w:ascii="Times New Roman" w:hAnsi="Times New Roman"/>
          <w:b w:val="false"/>
          <w:i w:val="false"/>
          <w:color w:val="000000"/>
          <w:sz w:val="22"/>
        </w:rPr>
        <w:t>At least 30 days prior to selling any consumable hemp product in Iowa or to purchasers located in Iowa, a consumable hemp retailer shall register with the department by doing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the online registration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Remit the registration fee set by the department in accordance with Iowa Code section </w:t>
      </w:r>
      <w:hyperlink r:id="rId9">
        <w:r>
          <w:rPr>
            <w:rStyle w:val="Hyperlink"/>
            <w:rFonts w:ascii="Times New Roman" w:hAnsi="Times New Roman"/>
            <w:b w:val="false"/>
            <w:i w:val="false"/>
            <w:color w:val="000000"/>
            <w:sz w:val="22"/>
          </w:rPr>
          <w:t>204.7</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complete list of all consumable hemp products the consumable hemp retailer intends to sell, along with documentation of the jurisdiction of origin for each consumable hemp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156.2(3)</w:t>
      </w:r>
      <w:r>
        <w:rPr>
          <w:rFonts w:ascii="Times New Roman" w:hAnsi="Times New Roman"/>
          <w:b w:val="false"/>
          <w:i w:val="false"/>
          <w:color w:val="000000"/>
          <w:sz w:val="22"/>
        </w:rPr>
        <w:t> </w:t>
      </w:r>
      <w:r>
        <w:rPr>
          <w:rFonts w:ascii="Times New Roman" w:hAnsi="Times New Roman"/>
          <w:b w:val="false"/>
          <w:i/>
          <w:color w:val="000000"/>
          <w:sz w:val="22"/>
        </w:rPr>
        <w:t xml:space="preserve">Combined consumable hemp manufacturers and retailers. </w:t>
      </w:r>
      <w:r>
        <w:rPr>
          <w:rFonts w:ascii="Times New Roman" w:hAnsi="Times New Roman"/>
          <w:b w:val="false"/>
          <w:i w:val="false"/>
          <w:color w:val="000000"/>
          <w:sz w:val="22"/>
        </w:rPr>
        <w:t>A consumable hemp establishment engaged in activities of a consumable hemp manufacturer and a consumable hemp retailer shall register separately for each activity. A registered consumable hemp manufacturer that exclusively sells consumable hemp products it has manufactured to consumers on a retail basis is not mandated to register as a consumable hemp retailer.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156.2(4)</w:t>
      </w:r>
      <w:r>
        <w:rPr>
          <w:rFonts w:ascii="Times New Roman" w:hAnsi="Times New Roman"/>
          <w:b w:val="false"/>
          <w:i w:val="false"/>
          <w:color w:val="000000"/>
          <w:sz w:val="22"/>
        </w:rPr>
        <w:t> </w:t>
      </w:r>
      <w:r>
        <w:rPr>
          <w:rFonts w:ascii="Times New Roman" w:hAnsi="Times New Roman"/>
          <w:b w:val="false"/>
          <w:i/>
          <w:color w:val="000000"/>
          <w:sz w:val="22"/>
        </w:rPr>
        <w:t xml:space="preserve">Physical location. </w:t>
      </w:r>
      <w:r>
        <w:rPr>
          <w:rFonts w:ascii="Times New Roman" w:hAnsi="Times New Roman"/>
          <w:b w:val="false"/>
          <w:i w:val="false"/>
          <w:color w:val="000000"/>
          <w:sz w:val="22"/>
        </w:rPr>
        <w:t>A consumable hemp establishment’s registration is valid for one physical location. A consumable hemp establishment that manufactures, processes, packs, holds, prepares, distributes, or sells a consumable hemp product at more than one physical location shall separately register each physical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156.2(5)</w:t>
      </w:r>
      <w:r>
        <w:rPr>
          <w:rFonts w:ascii="Times New Roman" w:hAnsi="Times New Roman"/>
          <w:b w:val="false"/>
          <w:i w:val="false"/>
          <w:color w:val="000000"/>
          <w:sz w:val="22"/>
        </w:rPr>
        <w:t> </w:t>
      </w:r>
      <w:r>
        <w:rPr>
          <w:rFonts w:ascii="Times New Roman" w:hAnsi="Times New Roman"/>
          <w:b w:val="false"/>
          <w:i/>
          <w:color w:val="000000"/>
          <w:sz w:val="22"/>
        </w:rPr>
        <w:t xml:space="preserve">Expiration and renewal. </w:t>
      </w:r>
      <w:r>
        <w:rPr>
          <w:rFonts w:ascii="Times New Roman" w:hAnsi="Times New Roman"/>
          <w:b w:val="false"/>
          <w:i w:val="false"/>
          <w:color w:val="000000"/>
          <w:sz w:val="22"/>
        </w:rPr>
        <w:t>A consumable hemp registration, unless sooner suspended or revoked, expires one year after the registration is approved by the department. A consumable hemp registration may be renewed annually through the department’s online registration system, accompanied by the registration fee, at least 30 days prior to expiration. Consumable hemp registrations that are expired more than 60 days will be revoked without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156.2(6)</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A consumable hemp registration is not transferable to a new owner or new physical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156.2(7)</w:t>
      </w:r>
      <w:r>
        <w:rPr>
          <w:rFonts w:ascii="Times New Roman" w:hAnsi="Times New Roman"/>
          <w:b w:val="false"/>
          <w:i w:val="false"/>
          <w:color w:val="000000"/>
          <w:sz w:val="22"/>
        </w:rPr>
        <w:t> </w:t>
      </w:r>
      <w:r>
        <w:rPr>
          <w:rFonts w:ascii="Times New Roman" w:hAnsi="Times New Roman"/>
          <w:b w:val="false"/>
          <w:i/>
          <w:color w:val="000000"/>
          <w:sz w:val="22"/>
        </w:rPr>
        <w:t xml:space="preserve">Posting of registrations. </w:t>
      </w:r>
      <w:r>
        <w:rPr>
          <w:rFonts w:ascii="Times New Roman" w:hAnsi="Times New Roman"/>
          <w:b w:val="false"/>
          <w:i w:val="false"/>
          <w:color w:val="000000"/>
          <w:sz w:val="22"/>
        </w:rPr>
        <w:t>A valid registration shall be posted on the premises of the consumable hemp establishment in a location that is visible to the public. An image of the valid registration must also be posted on any website or online point of sale in a location that is visible to the public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156.2(8)</w:t>
      </w:r>
      <w:r>
        <w:rPr>
          <w:rFonts w:ascii="Times New Roman" w:hAnsi="Times New Roman"/>
          <w:b w:val="false"/>
          <w:i w:val="false"/>
          <w:color w:val="000000"/>
          <w:sz w:val="22"/>
        </w:rPr>
        <w:t> </w:t>
      </w:r>
      <w:r>
        <w:rPr>
          <w:rFonts w:ascii="Times New Roman" w:hAnsi="Times New Roman"/>
          <w:b w:val="false"/>
          <w:i/>
          <w:color w:val="000000"/>
          <w:sz w:val="22"/>
        </w:rPr>
        <w:t xml:space="preserve">Returned payments. </w:t>
      </w:r>
      <w:r>
        <w:rPr>
          <w:rFonts w:ascii="Times New Roman" w:hAnsi="Times New Roman"/>
          <w:b w:val="false"/>
          <w:i w:val="false"/>
          <w:color w:val="000000"/>
          <w:sz w:val="22"/>
        </w:rPr>
        <w:t xml:space="preserve">The department will attempt to redeem a payment submitted for a consumable hemp registration that is not honored by the bank on which it is drafted. The department will notify the applicant of the need to provide sufficient payment. An additional fee of $25 shall be assessed for each dishonored payment. If the department does not receive payment, the establishment will be operating without a valid registration and is subject to penalties set forth in rule </w:t>
      </w:r>
      <w:hyperlink r:id="rId10">
        <w:r>
          <w:rPr>
            <w:rStyle w:val="Hyperlink"/>
            <w:rFonts w:ascii="Times New Roman" w:hAnsi="Times New Roman"/>
            <w:b w:val="false"/>
            <w:i w:val="false"/>
            <w:color w:val="000000"/>
            <w:sz w:val="22"/>
          </w:rPr>
          <w:t>641—156.7(204)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641—156.3</w:t>
      </w:r>
      <w:r>
        <w:rPr>
          <w:rFonts w:ascii="Times New Roman" w:hAnsi="Times New Roman"/>
          <w:b/>
          <w:i w:val="false"/>
          <w:color w:val="000000"/>
          <w:sz w:val="22"/>
        </w:rPr>
        <w:t xml:space="preserve">(204) </w:t>
      </w:r>
      <w:r>
        <w:rPr>
          <w:rFonts w:ascii="Times New Roman" w:hAnsi="Times New Roman"/>
          <w:b/>
          <w:i w:val="false"/>
          <w:color w:val="000000"/>
          <w:sz w:val="22"/>
        </w:rPr>
        <w:t xml:space="preserve">Testing requirements and 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156.3(1)</w:t>
      </w:r>
      <w:r>
        <w:rPr>
          <w:rFonts w:ascii="Times New Roman" w:hAnsi="Times New Roman"/>
          <w:b w:val="false"/>
          <w:i w:val="false"/>
          <w:color w:val="000000"/>
          <w:sz w:val="22"/>
        </w:rPr>
        <w:t> </w:t>
      </w:r>
      <w:r>
        <w:rPr>
          <w:rFonts w:ascii="Times New Roman" w:hAnsi="Times New Roman"/>
          <w:b w:val="false"/>
          <w:i/>
          <w:color w:val="000000"/>
          <w:sz w:val="22"/>
        </w:rPr>
        <w:t xml:space="preserve">Approved hemp source; certificate of analysis. </w:t>
      </w:r>
      <w:r>
        <w:rPr>
          <w:rFonts w:ascii="Times New Roman" w:hAnsi="Times New Roman"/>
          <w:b w:val="false"/>
          <w:i w:val="false"/>
          <w:color w:val="000000"/>
          <w:sz w:val="22"/>
        </w:rPr>
        <w:t>A consumable hemp product cannot be distributed or sold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consumable hemp product is from an approved hemp source and is accompanied by documentation that identifies the jurisdiction of origin. Documentation that identifies the jurisdiction of origin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Certificate of free sale issued by the jurisdiction of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Product label statements, provided the product label identifies the jurisdiction of origin;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documentation that identifies the jurisdiction of origin and also identifies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Brand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Product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Serving and container size in terms of net quantity of contents;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Lot number for the batch.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consumable hemp product has a certificate of analysis issued within the last year by an independent accredited laboratory that verifies and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consumable hemp product is from a batch that has been tested by the independent accredited laboratory consistent with generally accepted industry standards for herbal and botanical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presence and concentration of cannabinoids, including delta-9 tetrahydrocannabinol, tetrahydrocannabinolic acid, cannabidiol, and any other cannabinoids for which the product is being marketed;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consumable hemp product is from a batch that contained a total delta-9 tetrahydrocannabinol concentration that did not exceed 0.3 percent on a dry weight basis as calculated pursuant to an official postdecarboxylation analysis, as provided in Iowa Code section </w:t>
      </w:r>
      <w:hyperlink r:id="rId11">
        <w:r>
          <w:rPr>
            <w:rStyle w:val="Hyperlink"/>
            <w:rFonts w:ascii="Times New Roman" w:hAnsi="Times New Roman"/>
            <w:b w:val="false"/>
            <w:i w:val="false"/>
            <w:color w:val="000000"/>
            <w:sz w:val="22"/>
          </w:rPr>
          <w:t>204.8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consumable hemp product is from a batch that has been tested for, and does not contain more than trace amounts of, pesticides, residual solvents, metals, harmful pathogens, and toxicants;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batch does not contain synthetic or semisynthetic cannabinoids as described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156.3(2)</w:t>
      </w:r>
      <w:r>
        <w:rPr>
          <w:rFonts w:ascii="Times New Roman" w:hAnsi="Times New Roman"/>
          <w:b w:val="false"/>
          <w:i w:val="false"/>
          <w:color w:val="000000"/>
          <w:sz w:val="22"/>
        </w:rPr>
        <w:t> </w:t>
      </w:r>
      <w:r>
        <w:rPr>
          <w:rFonts w:ascii="Times New Roman" w:hAnsi="Times New Roman"/>
          <w:b w:val="false"/>
          <w:i/>
          <w:color w:val="000000"/>
          <w:sz w:val="22"/>
        </w:rPr>
        <w:t xml:space="preserve">Toxicant limits. </w:t>
      </w:r>
      <w:r>
        <w:rPr>
          <w:rFonts w:ascii="Times New Roman" w:hAnsi="Times New Roman"/>
          <w:b w:val="false"/>
          <w:i w:val="false"/>
          <w:color w:val="000000"/>
          <w:sz w:val="22"/>
        </w:rPr>
        <w:t xml:space="preserve">If a testing sample is found to contain greater than trace amounts of any pesticide, residual solvent, metal, harmful pathogen, or toxicants, the product is considered adulterated and cannot enter commerce.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156.3(3)</w:t>
      </w:r>
      <w:r>
        <w:rPr>
          <w:rFonts w:ascii="Times New Roman" w:hAnsi="Times New Roman"/>
          <w:b w:val="false"/>
          <w:i w:val="false"/>
          <w:color w:val="000000"/>
          <w:sz w:val="22"/>
        </w:rPr>
        <w:t> </w:t>
      </w:r>
      <w:r>
        <w:rPr>
          <w:rFonts w:ascii="Times New Roman" w:hAnsi="Times New Roman"/>
          <w:b w:val="false"/>
          <w:i/>
          <w:color w:val="000000"/>
          <w:sz w:val="22"/>
        </w:rPr>
        <w:t xml:space="preserve">Examination of records. </w:t>
      </w:r>
      <w:r>
        <w:rPr>
          <w:rFonts w:ascii="Times New Roman" w:hAnsi="Times New Roman"/>
          <w:b w:val="false"/>
          <w:i w:val="false"/>
          <w:color w:val="000000"/>
          <w:sz w:val="22"/>
        </w:rPr>
        <w:t>All documentation mandated by this rule shall be maintained by the consumable hemp establishment and provided to the department or other regulatory authority immediately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156.3(4)</w:t>
      </w:r>
      <w:r>
        <w:rPr>
          <w:rFonts w:ascii="Times New Roman" w:hAnsi="Times New Roman"/>
          <w:b w:val="false"/>
          <w:i w:val="false"/>
          <w:color w:val="000000"/>
          <w:sz w:val="22"/>
        </w:rPr>
        <w:t> </w:t>
      </w:r>
      <w:r>
        <w:rPr>
          <w:rFonts w:ascii="Times New Roman" w:hAnsi="Times New Roman"/>
          <w:b w:val="false"/>
          <w:i/>
          <w:color w:val="000000"/>
          <w:sz w:val="22"/>
        </w:rPr>
        <w:t xml:space="preserve">Independent accredited laboratory. </w:t>
      </w:r>
      <w:r>
        <w:rPr>
          <w:rFonts w:ascii="Times New Roman" w:hAnsi="Times New Roman"/>
          <w:b w:val="false"/>
          <w:i w:val="false"/>
          <w:color w:val="000000"/>
          <w:sz w:val="22"/>
        </w:rPr>
        <w:t>A consumable hemp establishment cannot utilize an accredited laboratory in which it has an ownership interest unless the consumable hemp establishment holds less than a 10 percent ownership interest in the accredited laboratory if the accredited laboratory is a publicly traded company. All testing of consumable hemp products under this rule must be conducted by an independent accredited testing laboratory.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641—156.4</w:t>
      </w:r>
      <w:r>
        <w:rPr>
          <w:rFonts w:ascii="Times New Roman" w:hAnsi="Times New Roman"/>
          <w:b/>
          <w:i w:val="false"/>
          <w:color w:val="000000"/>
          <w:sz w:val="22"/>
        </w:rPr>
        <w:t xml:space="preserve">(204) </w:t>
      </w:r>
      <w:r>
        <w:rPr>
          <w:rFonts w:ascii="Times New Roman" w:hAnsi="Times New Roman"/>
          <w:b/>
          <w:i w:val="false"/>
          <w:color w:val="000000"/>
          <w:sz w:val="22"/>
        </w:rPr>
        <w:t xml:space="preserve">Packaging and labeling.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consumable hemp product intended for individual retail sale is labeled such that a reasonable consumer would plainly identify the product as a consumable hemp product and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Lot number for the batch;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Brand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Product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List of ingredients;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Name, telephone number, and email address of the product manufacturer. If the registered manufacturer uses a contracted third-party or white-label manufacturer, the name of that entity must also be included on the container or label and is not proprietary or confidential under Iowa Code section </w:t>
      </w:r>
      <w:hyperlink r:id="rId1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specific cannabinoids are contained within or marketed for the product, the number of milligrams of each cannabinoid per serving and serving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certificate of analysis that the batch contained a total THC concentration that did not exceed 0.3 percent on a dry weight basis as calculated pursuant to an official test as provided in Iowa Code section </w:t>
      </w:r>
      <w:hyperlink r:id="rId13">
        <w:r>
          <w:rPr>
            <w:rStyle w:val="Hyperlink"/>
            <w:rFonts w:ascii="Times New Roman" w:hAnsi="Times New Roman"/>
            <w:b w:val="false"/>
            <w:i w:val="false"/>
            <w:color w:val="000000"/>
            <w:sz w:val="22"/>
          </w:rPr>
          <w:t>204.8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declaration of the net quantity of contents indicating the number of servings and total THC per serving and per container in compliance with Iowa Code section </w:t>
      </w:r>
      <w:hyperlink r:id="rId14">
        <w:r>
          <w:rPr>
            <w:rStyle w:val="Hyperlink"/>
            <w:rFonts w:ascii="Times New Roman" w:hAnsi="Times New Roman"/>
            <w:b w:val="false"/>
            <w:i w:val="false"/>
            <w:color w:val="000000"/>
            <w:sz w:val="22"/>
          </w:rPr>
          <w:t>204.2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warning label containing the following or substantially similar language, in addition to any other warning language necessitated by the specific product. This warning label may be divided into multiple sections on a label, provided that all the information is included in a prominent and conspicuous manner as compared to other words, statements, or designs on the container label: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product has not been evaluated or approved by the United States Food and Drug Administration (unless such approval has been secured);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potential for the product to cause the consumer to fail a drug test for THC;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that products containing THC may cause impairment and impact a consumer’s ability to operate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that the product is not recommended for use by pregnant or breastfeeding women;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that product use may result in health risks and medication interactions;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in capital letters to KEEP THIS PRODUCT OUT OF REACH OF CHILDREN.</w:t>
      </w:r>
    </w:p>
    <w:p>
      <w:pPr>
        <w:spacing w:before="0" w:after="0"/>
        <w:ind w:left="120"/>
        <w:jc w:val="both"/>
      </w:pPr>
      <w:r>
        <w:rPr>
          <w:rFonts w:ascii="Times New Roman" w:hAnsi="Times New Roman"/>
          <w:b w:val="false"/>
          <w:i w:val="false"/>
          <w:color w:val="000000"/>
          <w:sz w:val="22"/>
        </w:rPr>
        <w:t>The labeling must not contain any claim that the product may be used or is effective for the prevention, treatment, or cure of a disease or that it may be used to alter the structure or function of human or animal bodies unless the claim has been approved by the federal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156.4(2)</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 xml:space="preserve">The labeling mandated in paragraphs </w:t>
      </w:r>
      <w:hyperlink r:id="rId15">
        <w:r>
          <w:rPr>
            <w:rStyle w:val="Hyperlink"/>
            <w:rFonts w:ascii="Times New Roman" w:hAnsi="Times New Roman"/>
            <w:b w:val="false"/>
            <w:i w:val="false"/>
            <w:color w:val="000000"/>
            <w:sz w:val="22"/>
          </w:rPr>
          <w:t>156.4(1)</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 xml:space="preserve"> may be in the form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uniform resource locator (URL) for the manufacturer’s internet website that provides or links to the information mandated by this rule;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QR code or other bar code that may be scanned and that leads to the information required on the label.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641—156.5</w:t>
      </w:r>
      <w:r>
        <w:rPr>
          <w:rFonts w:ascii="Times New Roman" w:hAnsi="Times New Roman"/>
          <w:b/>
          <w:i w:val="false"/>
          <w:color w:val="000000"/>
          <w:sz w:val="22"/>
        </w:rPr>
        <w:t xml:space="preserve">(204) </w:t>
      </w:r>
      <w:r>
        <w:rPr>
          <w:rFonts w:ascii="Times New Roman" w:hAnsi="Times New Roman"/>
          <w:b/>
          <w:i w:val="false"/>
          <w:color w:val="000000"/>
          <w:sz w:val="22"/>
        </w:rPr>
        <w:t xml:space="preserve">Applicability of other laws and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156.5(1)</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consumable hemp establishment shall comply with all relevant Iowa laws and regulations applicable to the manufacturing, processing, storage, distribution, and sale of food, including but not limited to Iowa Code chapter </w:t>
      </w:r>
      <w:hyperlink r:id="rId16">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Iowa Code chapter </w:t>
      </w:r>
      <w:hyperlink r:id="rId17">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 xml:space="preserve">, and regulations promulgated under those chapters.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or entity subject to Iowa Code chapter </w:t>
      </w:r>
      <w:hyperlink r:id="rId18">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shall not introduce any consumable hemp product into the alcoholic beverage product for which the individual or entity is subject to Iowa Code chapter </w:t>
      </w:r>
      <w:hyperlink r:id="rId19">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unless the consumable hemp product is GRAS by the federal Food and Drug Administration and is thus not deemed adulterated.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or entity subject to Iowa Code chapter </w:t>
      </w:r>
      <w:hyperlink r:id="rId20">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 xml:space="preserve"> shall not introduce any consumable hemp product into the meat or poultry product for which the individual or entity is subject to Iowa Code chapter </w:t>
      </w:r>
      <w:hyperlink r:id="rId21">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 xml:space="preserve"> unless the consumable hemp product is GRAS by the federal Food and Drug Administration and is thus not deemed adulterated. A consumable hemp retailer may introduce any consumable hemp product into meat or poultry sold to consumers on a retail basis in intrastate commerce.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156.5(4)</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or entity subject to Iowa Code chapters </w:t>
      </w:r>
      <w:hyperlink r:id="rId22">
        <w:r>
          <w:rPr>
            <w:rStyle w:val="Hyperlink"/>
            <w:rFonts w:ascii="Times New Roman" w:hAnsi="Times New Roman"/>
            <w:b w:val="false"/>
            <w:i w:val="false"/>
            <w:color w:val="000000"/>
            <w:sz w:val="22"/>
          </w:rPr>
          <w:t>190</w:t>
        </w:r>
      </w:hyperlink>
      <w:r>
        <w:rPr>
          <w:rFonts w:ascii="Times New Roman" w:hAnsi="Times New Roman"/>
          <w:b w:val="false"/>
          <w:i w:val="false"/>
          <w:color w:val="000000"/>
          <w:sz w:val="22"/>
        </w:rPr>
        <w:t xml:space="preserve"> through </w:t>
      </w:r>
      <w:hyperlink r:id="rId23">
        <w:r>
          <w:rPr>
            <w:rStyle w:val="Hyperlink"/>
            <w:rFonts w:ascii="Times New Roman" w:hAnsi="Times New Roman"/>
            <w:b w:val="false"/>
            <w:i w:val="false"/>
            <w:color w:val="000000"/>
            <w:sz w:val="22"/>
          </w:rPr>
          <w:t>192</w:t>
        </w:r>
      </w:hyperlink>
      <w:r>
        <w:rPr>
          <w:rFonts w:ascii="Times New Roman" w:hAnsi="Times New Roman"/>
          <w:b w:val="false"/>
          <w:i w:val="false"/>
          <w:color w:val="000000"/>
          <w:sz w:val="22"/>
        </w:rPr>
        <w:t xml:space="preserve"> shall not introduce any consumable hemp product into the dairy product for which the individual or entity is subject to Iowa Code chapters </w:t>
      </w:r>
      <w:hyperlink r:id="rId24">
        <w:r>
          <w:rPr>
            <w:rStyle w:val="Hyperlink"/>
            <w:rFonts w:ascii="Times New Roman" w:hAnsi="Times New Roman"/>
            <w:b w:val="false"/>
            <w:i w:val="false"/>
            <w:color w:val="000000"/>
            <w:sz w:val="22"/>
          </w:rPr>
          <w:t>190</w:t>
        </w:r>
      </w:hyperlink>
      <w:r>
        <w:rPr>
          <w:rFonts w:ascii="Times New Roman" w:hAnsi="Times New Roman"/>
          <w:b w:val="false"/>
          <w:i w:val="false"/>
          <w:color w:val="000000"/>
          <w:sz w:val="22"/>
        </w:rPr>
        <w:t xml:space="preserve"> through </w:t>
      </w:r>
      <w:hyperlink r:id="rId25">
        <w:r>
          <w:rPr>
            <w:rStyle w:val="Hyperlink"/>
            <w:rFonts w:ascii="Times New Roman" w:hAnsi="Times New Roman"/>
            <w:b w:val="false"/>
            <w:i w:val="false"/>
            <w:color w:val="000000"/>
            <w:sz w:val="22"/>
          </w:rPr>
          <w:t>192</w:t>
        </w:r>
      </w:hyperlink>
      <w:r>
        <w:rPr>
          <w:rFonts w:ascii="Times New Roman" w:hAnsi="Times New Roman"/>
          <w:b w:val="false"/>
          <w:i w:val="false"/>
          <w:color w:val="000000"/>
          <w:sz w:val="22"/>
        </w:rPr>
        <w:t xml:space="preserve"> unless the consumable hemp product is GRAS by the federal Food and Drug Administration and is thus not deemed adulterated. A consumable hemp retailer may introduce any consumable hemp products into dairy products sold to consumers on a retail basis in intrastate commerce.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156.5(5)</w:t>
      </w:r>
      <w:r>
        <w:rPr>
          <w:rFonts w:ascii="Times New Roman" w:hAnsi="Times New Roman"/>
          <w:b w:val="false"/>
          <w:i w:val="false"/>
          <w:color w:val="000000"/>
          <w:sz w:val="22"/>
        </w:rPr>
        <w:t> </w:t>
      </w:r>
      <w:r>
        <w:rPr>
          <w:rFonts w:ascii="Times New Roman" w:hAnsi="Times New Roman"/>
          <w:b w:val="false"/>
          <w:i w:val="false"/>
          <w:color w:val="000000"/>
          <w:sz w:val="22"/>
        </w:rPr>
        <w:t xml:space="preserve">Consumable hemp products in interstate commerce are subject to federal law. Compliance with Iowa Code chapter </w:t>
      </w:r>
      <w:hyperlink r:id="rId26">
        <w:r>
          <w:rPr>
            <w:rStyle w:val="Hyperlink"/>
            <w:rFonts w:ascii="Times New Roman" w:hAnsi="Times New Roman"/>
            <w:b w:val="false"/>
            <w:i w:val="false"/>
            <w:color w:val="000000"/>
            <w:sz w:val="22"/>
          </w:rPr>
          <w:t>204</w:t>
        </w:r>
      </w:hyperlink>
      <w:r>
        <w:rPr>
          <w:rFonts w:ascii="Times New Roman" w:hAnsi="Times New Roman"/>
          <w:b w:val="false"/>
          <w:i w:val="false"/>
          <w:color w:val="000000"/>
          <w:sz w:val="22"/>
        </w:rPr>
        <w:t xml:space="preserve"> and this chapter does not represent compliance with federal law.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641—156.6</w:t>
      </w:r>
      <w:r>
        <w:rPr>
          <w:rFonts w:ascii="Times New Roman" w:hAnsi="Times New Roman"/>
          <w:b/>
          <w:i w:val="false"/>
          <w:color w:val="000000"/>
          <w:sz w:val="22"/>
        </w:rPr>
        <w:t xml:space="preserve">(204) </w:t>
      </w:r>
      <w:r>
        <w:rPr>
          <w:rFonts w:ascii="Times New Roman" w:hAnsi="Times New Roman"/>
          <w:b/>
          <w:i w:val="false"/>
          <w:color w:val="000000"/>
          <w:sz w:val="22"/>
        </w:rPr>
        <w:t xml:space="preserve">Prohibitions.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156.6(1)</w:t>
      </w:r>
      <w:r>
        <w:rPr>
          <w:rFonts w:ascii="Times New Roman" w:hAnsi="Times New Roman"/>
          <w:b w:val="false"/>
          <w:i w:val="false"/>
          <w:color w:val="000000"/>
          <w:sz w:val="22"/>
        </w:rPr>
        <w:t> </w:t>
      </w:r>
      <w:r>
        <w:rPr>
          <w:rFonts w:ascii="Times New Roman" w:hAnsi="Times New Roman"/>
          <w:b w:val="false"/>
          <w:i w:val="false"/>
          <w:color w:val="000000"/>
          <w:sz w:val="22"/>
        </w:rPr>
        <w:t>A consumable hemp establishment cannot manufacture, process, pack, hold, prepare, distribute, or sell consumable hemp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the premises of a private residence, except a portion of a private residence that is distinctly separate from any living space, that is dedicated to the production or sale of food, and that meets all applicable state and local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the premises of a temporary location, including but not limited to a food stand, roadside stand, temporary booth, or any other temporary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Door to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Through vending machines;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At private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156.6(2)</w:t>
      </w:r>
      <w:r>
        <w:rPr>
          <w:rFonts w:ascii="Times New Roman" w:hAnsi="Times New Roman"/>
          <w:b w:val="false"/>
          <w:i w:val="false"/>
          <w:color w:val="000000"/>
          <w:sz w:val="22"/>
        </w:rPr>
        <w:t> </w:t>
      </w:r>
      <w:r>
        <w:rPr>
          <w:rFonts w:ascii="Times New Roman" w:hAnsi="Times New Roman"/>
          <w:b w:val="false"/>
          <w:i w:val="false"/>
          <w:color w:val="000000"/>
          <w:sz w:val="22"/>
        </w:rPr>
        <w:t>A consumable hemp product may be sold at a stand at a farmers market,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farmers market is listed on the Iowa department of agriculture and land stewardship’s farmers market directory;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selling the consumable hemp product maintains a valid consumable hemp retailer registration at any location where consumable hemp is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consumable hemp establishment registration is posted in plain sight at the farmers market stand;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consumable hemp products sold are listed and maintained up to date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156.6(3)</w:t>
      </w:r>
      <w:r>
        <w:rPr>
          <w:rFonts w:ascii="Times New Roman" w:hAnsi="Times New Roman"/>
          <w:b w:val="false"/>
          <w:i w:val="false"/>
          <w:color w:val="000000"/>
          <w:sz w:val="22"/>
        </w:rPr>
        <w:t> </w:t>
      </w:r>
      <w:r>
        <w:rPr>
          <w:rFonts w:ascii="Times New Roman" w:hAnsi="Times New Roman"/>
          <w:b w:val="false"/>
          <w:i w:val="false"/>
          <w:color w:val="000000"/>
          <w:sz w:val="22"/>
        </w:rPr>
        <w:t>A consumable hemp product label and any associated marketing materials shall not contain any claim that the product may be used or is effective for the prevention, treatment, or cure of a disease or that it may be used to alter the structure or function of human or animal bodies unless the claim has been approved by the federal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156.6(4)</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consumable hemp retailer cannot manufacture, process, package, repackage, relabel, mix, blend, or otherwise manipulate a consumable hemp product. This subrule does not apply to a food service establishment that utilizes a consumable hemp product from an approved hemp source as a food ingredient intended for immediate consumption by the consumer, provided that the food service establishment discloses all label information mandated by rule </w:t>
      </w:r>
      <w:hyperlink r:id="rId27">
        <w:r>
          <w:rPr>
            <w:rStyle w:val="Hyperlink"/>
            <w:rFonts w:ascii="Times New Roman" w:hAnsi="Times New Roman"/>
            <w:b w:val="false"/>
            <w:i w:val="false"/>
            <w:color w:val="000000"/>
            <w:sz w:val="22"/>
          </w:rPr>
          <w:t>641—156.4(204)</w:t>
        </w:r>
      </w:hyperlink>
      <w:r>
        <w:rPr>
          <w:rFonts w:ascii="Times New Roman" w:hAnsi="Times New Roman"/>
          <w:b w:val="false"/>
          <w:i w:val="false"/>
          <w:color w:val="000000"/>
          <w:sz w:val="22"/>
        </w:rPr>
        <w:t xml:space="preserve"> to the consumer through the menu, menu board, placard, table tent, or other effective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156.6(5)</w:t>
      </w:r>
      <w:r>
        <w:rPr>
          <w:rFonts w:ascii="Times New Roman" w:hAnsi="Times New Roman"/>
          <w:b w:val="false"/>
          <w:i w:val="false"/>
          <w:color w:val="000000"/>
          <w:sz w:val="22"/>
        </w:rPr>
        <w:t> </w:t>
      </w:r>
      <w:r>
        <w:rPr>
          <w:rFonts w:ascii="Times New Roman" w:hAnsi="Times New Roman"/>
          <w:b w:val="false"/>
          <w:i w:val="false"/>
          <w:color w:val="000000"/>
          <w:sz w:val="22"/>
        </w:rPr>
        <w:t>A consumable hemp product that does not conform to this chapter is considered adulterated or misbranded and cannot enter commerce.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156.6(6)</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consumable hemp retailer or manufacturer shall not sell or distribute consumable hemp products to person under 21 years of age, subject to verification. Proof of age may be established by a valid driver’s license, identification card issued by Iowa or another state, or other form of government-issued identification and must include the photograph and date of birth of the person.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641—156.7</w:t>
      </w:r>
      <w:r>
        <w:rPr>
          <w:rFonts w:ascii="Times New Roman" w:hAnsi="Times New Roman"/>
          <w:b/>
          <w:i w:val="false"/>
          <w:color w:val="000000"/>
          <w:sz w:val="22"/>
        </w:rPr>
        <w:t xml:space="preserve">(204) </w:t>
      </w:r>
      <w:r>
        <w:rPr>
          <w:rFonts w:ascii="Times New Roman" w:hAnsi="Times New Roman"/>
          <w:b/>
          <w:i w:val="false"/>
          <w:color w:val="000000"/>
          <w:sz w:val="22"/>
        </w:rPr>
        <w:t xml:space="preserve">Violations and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156.7(1)</w:t>
      </w:r>
      <w:r>
        <w:rPr>
          <w:rFonts w:ascii="Times New Roman" w:hAnsi="Times New Roman"/>
          <w:b w:val="false"/>
          <w:i w:val="false"/>
          <w:color w:val="000000"/>
          <w:sz w:val="22"/>
        </w:rPr>
        <w:t> </w:t>
      </w:r>
      <w:r>
        <w:rPr>
          <w:rFonts w:ascii="Times New Roman" w:hAnsi="Times New Roman"/>
          <w:b w:val="false"/>
          <w:i w:val="false"/>
          <w:color w:val="000000"/>
          <w:sz w:val="22"/>
        </w:rPr>
        <w:t xml:space="preserve">Any consumable hemp product introduced into commerce by an individual or entity without a consumable hemp registration approved by the department in accordance with rule </w:t>
      </w:r>
      <w:hyperlink r:id="rId28">
        <w:r>
          <w:rPr>
            <w:rStyle w:val="Hyperlink"/>
            <w:rFonts w:ascii="Times New Roman" w:hAnsi="Times New Roman"/>
            <w:b w:val="false"/>
            <w:i w:val="false"/>
            <w:color w:val="000000"/>
            <w:sz w:val="22"/>
          </w:rPr>
          <w:t>641—156.2(204)</w:t>
        </w:r>
      </w:hyperlink>
      <w:r>
        <w:rPr>
          <w:rFonts w:ascii="Times New Roman" w:hAnsi="Times New Roman"/>
          <w:b w:val="false"/>
          <w:i w:val="false"/>
          <w:color w:val="000000"/>
          <w:sz w:val="22"/>
        </w:rPr>
        <w:t xml:space="preserve"> is subject to immediate embargo.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156.7(2)</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consumable hemp product that is adulterated or misbranded when introduced into commerce is subject to immediate embargo.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156.7(3)</w:t>
      </w:r>
      <w:r>
        <w:rPr>
          <w:rFonts w:ascii="Times New Roman" w:hAnsi="Times New Roman"/>
          <w:b w:val="false"/>
          <w:i w:val="false"/>
          <w:color w:val="000000"/>
          <w:sz w:val="22"/>
        </w:rPr>
        <w:t> </w:t>
      </w:r>
      <w:r>
        <w:rPr>
          <w:rFonts w:ascii="Times New Roman" w:hAnsi="Times New Roman"/>
          <w:b w:val="false"/>
          <w:i w:val="false"/>
          <w:color w:val="000000"/>
          <w:sz w:val="22"/>
        </w:rPr>
        <w:t>A consumable hemp product that the department reasonably believes may be injurious to public health or that has entered commerce and is not in conformance with this chapter is subject to immediate embargo.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156.7(4)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embargo of a consumable hemp product is effective until such a time as the violation is remedied or the product is disposed of in a reasonable manner as determined by the department. If the violation cannot be remedied and disposal is necessary, the cost of disposal is the responsibility of the consumable hemp establishment. Disposal shall be observed by a person approved by the department. The embargo of a consumable hemp product may be appealed in accordance with rule </w:t>
      </w:r>
      <w:hyperlink r:id="rId29">
        <w:r>
          <w:rPr>
            <w:rStyle w:val="Hyperlink"/>
            <w:rFonts w:ascii="Times New Roman" w:hAnsi="Times New Roman"/>
            <w:b w:val="false"/>
            <w:i w:val="false"/>
            <w:color w:val="000000"/>
            <w:sz w:val="22"/>
          </w:rPr>
          <w:t>641—156.8(204)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156.7(5)</w:t>
      </w:r>
      <w:r>
        <w:rPr>
          <w:rFonts w:ascii="Times New Roman" w:hAnsi="Times New Roman"/>
          <w:b w:val="false"/>
          <w:i w:val="false"/>
          <w:color w:val="000000"/>
          <w:sz w:val="22"/>
        </w:rPr>
        <w:t> </w:t>
      </w:r>
      <w:r>
        <w:rPr>
          <w:rFonts w:ascii="Times New Roman" w:hAnsi="Times New Roman"/>
          <w:b w:val="false"/>
          <w:i w:val="false"/>
          <w:color w:val="000000"/>
          <w:sz w:val="22"/>
        </w:rPr>
        <w:t>A consumable hemp manufacturer will conduct a recall of a consumable hemp product lot that has been tested and found to be adulterated. The cost of a recall or disposal of the product is the responsibility of the consumable hemp manufacturer.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641—156.8</w:t>
      </w:r>
      <w:r>
        <w:rPr>
          <w:rFonts w:ascii="Times New Roman" w:hAnsi="Times New Roman"/>
          <w:b/>
          <w:i w:val="false"/>
          <w:color w:val="000000"/>
          <w:sz w:val="22"/>
        </w:rPr>
        <w:t xml:space="preserve">(204) </w:t>
      </w:r>
      <w:r>
        <w:rPr>
          <w:rFonts w:ascii="Times New Roman" w:hAnsi="Times New Roman"/>
          <w:b/>
          <w:i w:val="false"/>
          <w:color w:val="000000"/>
          <w:sz w:val="22"/>
        </w:rPr>
        <w:t xml:space="preserve">Denial, suspension, or revocation of registration. </w:t>
      </w:r>
      <w:r>
        <w:rPr>
          <w:rFonts w:ascii="Times New Roman" w:hAnsi="Times New Roman"/>
          <w:b w:val="false"/>
          <w:i w:val="false"/>
          <w:color w:val="000000"/>
          <w:sz w:val="22"/>
        </w:rPr>
        <w:t>The department may deny, suspend, or revoke a registration in any case where the department finds there has been repeated failure on the part of the consumable hemp establishment to comply with the provisions of this chapter, or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register. An individual or entity that introduces a consumable hemp product into commerce without a consumable hemp registration approved by the department in accordance with rule </w:t>
      </w:r>
      <w:hyperlink r:id="rId30">
        <w:r>
          <w:rPr>
            <w:rStyle w:val="Hyperlink"/>
            <w:rFonts w:ascii="Times New Roman" w:hAnsi="Times New Roman"/>
            <w:b w:val="false"/>
            <w:i w:val="false"/>
            <w:color w:val="000000"/>
            <w:sz w:val="22"/>
          </w:rPr>
          <w:t>641—156.2(204)</w:t>
        </w:r>
      </w:hyperlink>
      <w:r>
        <w:rPr>
          <w:rFonts w:ascii="Times New Roman" w:hAnsi="Times New Roman"/>
          <w:b w:val="false"/>
          <w:i w:val="false"/>
          <w:color w:val="000000"/>
          <w:sz w:val="22"/>
        </w:rPr>
        <w:t xml:space="preserve"> may be denied a consumable hemp registration for a period of up to 30 days for a first violation, up to one year for a second violation, and up to five years for a third or any subsequent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156.8(2)</w:t>
      </w:r>
      <w:r>
        <w:rPr>
          <w:rFonts w:ascii="Times New Roman" w:hAnsi="Times New Roman"/>
          <w:b w:val="false"/>
          <w:i w:val="false"/>
          <w:color w:val="000000"/>
          <w:sz w:val="22"/>
        </w:rPr>
        <w:t> </w:t>
      </w:r>
      <w:r>
        <w:rPr>
          <w:rFonts w:ascii="Times New Roman" w:hAnsi="Times New Roman"/>
          <w:b w:val="false"/>
          <w:i w:val="false"/>
          <w:color w:val="000000"/>
          <w:sz w:val="22"/>
        </w:rPr>
        <w:t xml:space="preserve">Nonconforming consumable hemp product. A registered consumable hemp establishment that introduces a consumable hemp product into commerce that is not in conformance with Iowa Code chapter </w:t>
      </w:r>
      <w:hyperlink r:id="rId31">
        <w:r>
          <w:rPr>
            <w:rStyle w:val="Hyperlink"/>
            <w:rFonts w:ascii="Times New Roman" w:hAnsi="Times New Roman"/>
            <w:b w:val="false"/>
            <w:i w:val="false"/>
            <w:color w:val="000000"/>
            <w:sz w:val="22"/>
          </w:rPr>
          <w:t>204</w:t>
        </w:r>
      </w:hyperlink>
      <w:r>
        <w:rPr>
          <w:rFonts w:ascii="Times New Roman" w:hAnsi="Times New Roman"/>
          <w:b w:val="false"/>
          <w:i w:val="false"/>
          <w:color w:val="000000"/>
          <w:sz w:val="22"/>
        </w:rPr>
        <w:t xml:space="preserve"> or this chapter is subject to the immediate revocation of its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156.8(3)</w:t>
      </w:r>
      <w:r>
        <w:rPr>
          <w:rFonts w:ascii="Times New Roman" w:hAnsi="Times New Roman"/>
          <w:b w:val="false"/>
          <w:i w:val="false"/>
          <w:color w:val="000000"/>
          <w:sz w:val="22"/>
        </w:rPr>
        <w:t> </w:t>
      </w:r>
      <w:r>
        <w:rPr>
          <w:rFonts w:ascii="Times New Roman" w:hAnsi="Times New Roman"/>
          <w:b w:val="false"/>
          <w:i w:val="false"/>
          <w:color w:val="000000"/>
          <w:sz w:val="22"/>
        </w:rPr>
        <w:t>Qualifying criminal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conviction of any individual with an ownership interest in a consumable hemp establishment constituting a felony, serious misdemeanor, or aggravated misdemeanor and resulting from an activity constituting a criminal offense in the consumable hemp establishment may result in the denial, suspension, or revocation of the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conviction for committing a criminal offense involving a controlled substance as described in Iowa Code section </w:t>
      </w:r>
      <w:hyperlink r:id="rId32">
        <w:r>
          <w:rPr>
            <w:rStyle w:val="Hyperlink"/>
            <w:rFonts w:ascii="Times New Roman" w:hAnsi="Times New Roman"/>
            <w:b w:val="false"/>
            <w:i w:val="false"/>
            <w:color w:val="000000"/>
            <w:sz w:val="22"/>
          </w:rPr>
          <w:t>204.7</w:t>
        </w:r>
      </w:hyperlink>
      <w:r>
        <w:rPr>
          <w:rFonts w:ascii="Times New Roman" w:hAnsi="Times New Roman"/>
          <w:b w:val="false"/>
          <w:i w:val="false"/>
          <w:color w:val="000000"/>
          <w:sz w:val="22"/>
        </w:rPr>
        <w:t xml:space="preserve"> may result in the denial, suspension, or revocation of the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copy of the final order or judgment of conviction or plea of guilty shall be conclusive evidence of the conviction of the registration holder.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deferred judgment, until discharged, is considered a conviction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156.8(4)</w:t>
      </w:r>
      <w:r>
        <w:rPr>
          <w:rFonts w:ascii="Times New Roman" w:hAnsi="Times New Roman"/>
          <w:b w:val="false"/>
          <w:i w:val="false"/>
          <w:color w:val="000000"/>
          <w:sz w:val="22"/>
        </w:rPr>
        <w:t> </w:t>
      </w:r>
      <w:r>
        <w:rPr>
          <w:rFonts w:ascii="Times New Roman" w:hAnsi="Times New Roman"/>
          <w:b w:val="false"/>
          <w:i w:val="false"/>
          <w:color w:val="000000"/>
          <w:sz w:val="22"/>
        </w:rPr>
        <w:t>False or misleading information. Providing false or misleading information to the department under this chapter, including by submitting a false registration, may result in the denial, suspension, or revocation of the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156.8(5)</w:t>
      </w:r>
      <w:r>
        <w:rPr>
          <w:rFonts w:ascii="Times New Roman" w:hAnsi="Times New Roman"/>
          <w:b w:val="false"/>
          <w:i w:val="false"/>
          <w:color w:val="000000"/>
          <w:sz w:val="22"/>
        </w:rPr>
        <w:t> </w:t>
      </w:r>
      <w:r>
        <w:rPr>
          <w:rFonts w:ascii="Times New Roman" w:hAnsi="Times New Roman"/>
          <w:b w:val="false"/>
          <w:i w:val="false"/>
          <w:color w:val="000000"/>
          <w:sz w:val="22"/>
        </w:rPr>
        <w:t>Failure to comply. Failing to comply with an order issued by the department under this chapter may result in the denial, suspension, or revocation of the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156.8(6)</w:t>
      </w:r>
      <w:r>
        <w:rPr>
          <w:rFonts w:ascii="Times New Roman" w:hAnsi="Times New Roman"/>
          <w:b w:val="false"/>
          <w:i w:val="false"/>
          <w:color w:val="000000"/>
          <w:sz w:val="22"/>
        </w:rPr>
        <w:t> </w:t>
      </w:r>
      <w:r>
        <w:rPr>
          <w:rFonts w:ascii="Times New Roman" w:hAnsi="Times New Roman"/>
          <w:b w:val="false"/>
          <w:i w:val="false"/>
          <w:color w:val="000000"/>
          <w:sz w:val="22"/>
        </w:rPr>
        <w:t>Successive violations. A third violation of any provision of this chapter in a five-year period will result in the denial, suspension, or revocation of the registration. The department will disapprove any registration of the consumable hemp establishment for a five-year period following the date of the last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156.8(7)</w:t>
      </w:r>
      <w:r>
        <w:rPr>
          <w:rFonts w:ascii="Times New Roman" w:hAnsi="Times New Roman"/>
          <w:b w:val="false"/>
          <w:i w:val="false"/>
          <w:color w:val="000000"/>
          <w:sz w:val="22"/>
        </w:rPr>
        <w:t> </w:t>
      </w:r>
      <w:r>
        <w:rPr>
          <w:rFonts w:ascii="Times New Roman" w:hAnsi="Times New Roman"/>
          <w:b w:val="false"/>
          <w:i w:val="false"/>
          <w:color w:val="000000"/>
          <w:sz w:val="22"/>
        </w:rPr>
        <w:t>Materially false information supplied. An individual or entity that materially falsifies any information contained in a consumable hemp registration is ineligible for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641—156.9</w:t>
      </w:r>
      <w:r>
        <w:rPr>
          <w:rFonts w:ascii="Times New Roman" w:hAnsi="Times New Roman"/>
          <w:b/>
          <w:i w:val="false"/>
          <w:color w:val="000000"/>
          <w:sz w:val="22"/>
        </w:rPr>
        <w:t xml:space="preserve">(204) </w:t>
      </w:r>
      <w:r>
        <w:rPr>
          <w:rFonts w:ascii="Times New Roman" w:hAnsi="Times New Roman"/>
          <w:b/>
          <w:i w:val="false"/>
          <w:color w:val="000000"/>
          <w:sz w:val="22"/>
        </w:rPr>
        <w:t xml:space="preserve">Inspection and access to records. </w:t>
      </w:r>
      <w:r>
        <w:rPr>
          <w:rFonts w:ascii="Times New Roman" w:hAnsi="Times New Roman"/>
          <w:b w:val="false"/>
          <w:i w:val="false"/>
          <w:color w:val="000000"/>
          <w:sz w:val="22"/>
        </w:rPr>
        <w:t xml:space="preserve">The department may enter a consumable hemp establishment at any reasonable hour to assess compliance with Iowa Code chapter </w:t>
      </w:r>
      <w:hyperlink r:id="rId33">
        <w:r>
          <w:rPr>
            <w:rStyle w:val="Hyperlink"/>
            <w:rFonts w:ascii="Times New Roman" w:hAnsi="Times New Roman"/>
            <w:b w:val="false"/>
            <w:i w:val="false"/>
            <w:color w:val="000000"/>
            <w:sz w:val="22"/>
          </w:rPr>
          <w:t>204</w:t>
        </w:r>
      </w:hyperlink>
      <w:r>
        <w:rPr>
          <w:rFonts w:ascii="Times New Roman" w:hAnsi="Times New Roman"/>
          <w:b w:val="false"/>
          <w:i w:val="false"/>
          <w:color w:val="000000"/>
          <w:sz w:val="22"/>
        </w:rPr>
        <w:t xml:space="preserve"> and these rules. The manager or person in charge of the consumable hemp establishment will afford free access to every part of the premises, including access to records related to consumable hemp products, and render all aid and assistance necessary to enable the regulatory authority to make a thorough and complete assessment.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641—156.10</w:t>
      </w:r>
      <w:r>
        <w:rPr>
          <w:rFonts w:ascii="Times New Roman" w:hAnsi="Times New Roman"/>
          <w:b/>
          <w:i w:val="false"/>
          <w:color w:val="000000"/>
          <w:sz w:val="22"/>
        </w:rPr>
        <w:t xml:space="preserve">(204) </w:t>
      </w:r>
      <w:r>
        <w:rPr>
          <w:rFonts w:ascii="Times New Roman" w:hAnsi="Times New Roman"/>
          <w:b/>
          <w:i w:val="false"/>
          <w:color w:val="000000"/>
          <w:sz w:val="22"/>
        </w:rPr>
        <w:t xml:space="preserve">Public examination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156.10(1)</w:t>
      </w:r>
      <w:r>
        <w:rPr>
          <w:rFonts w:ascii="Times New Roman" w:hAnsi="Times New Roman"/>
          <w:b w:val="false"/>
          <w:i w:val="false"/>
          <w:color w:val="000000"/>
          <w:sz w:val="22"/>
        </w:rPr>
        <w:t> </w:t>
      </w:r>
      <w:r>
        <w:rPr>
          <w:rFonts w:ascii="Times New Roman" w:hAnsi="Times New Roman"/>
          <w:b w:val="false"/>
          <w:i/>
          <w:color w:val="000000"/>
          <w:sz w:val="22"/>
        </w:rPr>
        <w:t xml:space="preserve">Public information. </w:t>
      </w:r>
      <w:r>
        <w:rPr>
          <w:rFonts w:ascii="Times New Roman" w:hAnsi="Times New Roman"/>
          <w:b w:val="false"/>
          <w:i w:val="false"/>
          <w:color w:val="000000"/>
          <w:sz w:val="22"/>
        </w:rPr>
        <w:t>Generally, information collected by the department and contractors is considered public information. Records are stored in computer files and are not matched with any other data system. Information is available for public review and will be provided when requested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156.10(2)</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are examples of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Trade secrets and proprietary information including items such as formulations, processes, policies and procedures, and customer 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Health information related to foodborne illness complaints and outbreaks;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or any identifying information of a person who files a complaint with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state or federal agencies’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claiming that information submitted to the department contains trade secrets or proprietary information should clearly mark those portions of the submission as confidential/trade secret.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641—156.11</w:t>
      </w:r>
      <w:r>
        <w:rPr>
          <w:rFonts w:ascii="Times New Roman" w:hAnsi="Times New Roman"/>
          <w:b/>
          <w:i w:val="false"/>
          <w:color w:val="000000"/>
          <w:sz w:val="22"/>
        </w:rPr>
        <w:t xml:space="preserve">(204)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All decisions of the department may be contested by an adversely affected party in accordance with </w:t>
      </w:r>
      <w:hyperlink r:id="rId34">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35">
        <w:r>
          <w:rPr>
            <w:rStyle w:val="Hyperlink"/>
            <w:rFonts w:ascii="Times New Roman" w:hAnsi="Times New Roman"/>
            <w:b w:val="false"/>
            <w:i w:val="false"/>
            <w:color w:val="000000"/>
            <w:sz w:val="22"/>
          </w:rPr>
          <w:t>124.506</w:t>
        </w:r>
      </w:hyperlink>
      <w:r>
        <w:rPr>
          <w:rFonts w:ascii="Times New Roman" w:hAnsi="Times New Roman"/>
          <w:b w:val="false"/>
          <w:i w:val="false"/>
          <w:color w:val="000000"/>
          <w:sz w:val="22"/>
        </w:rPr>
        <w:t xml:space="preserve"> and Iowa Code chapter </w:t>
      </w:r>
      <w:hyperlink r:id="rId36">
        <w:r>
          <w:rPr>
            <w:rStyle w:val="Hyperlink"/>
            <w:rFonts w:ascii="Times New Roman" w:hAnsi="Times New Roman"/>
            <w:b w:val="false"/>
            <w:i w:val="false"/>
            <w:color w:val="000000"/>
            <w:sz w:val="22"/>
          </w:rPr>
          <w:t>204</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2024 Iowa Acts, House File 2605</w:t>
      </w:r>
      <w:r>
        <w:rPr>
          <w:rFonts w:ascii="Times New Roman" w:hAnsi="Times New Roman"/>
          <w:b w:val="false"/>
          <w:i w:val="false"/>
          <w:color w:val="000000"/>
          <w:sz w:val="22"/>
        </w:rPr>
        <w:t>.</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5404C</w:t>
      </w:r>
      <w:r>
        <w:rPr>
          <w:rFonts w:ascii="Times New Roman" w:hAnsi="Times New Roman"/>
          <w:b w:val="false"/>
          <w:i w:val="false"/>
          <w:color w:val="000000"/>
          <w:sz w:val="21"/>
        </w:rPr>
        <w:t xml:space="preserve"> (Notice ARC 5265C, IAB 11/4/20)</w:t>
      </w:r>
      <w:r>
        <w:rPr>
          <w:rFonts w:ascii="Times New Roman" w:hAnsi="Times New Roman"/>
          <w:b w:val="false"/>
          <w:i w:val="false"/>
          <w:color w:val="000000"/>
          <w:sz w:val="21"/>
        </w:rPr>
        <w:t>, IAB 1/27/21, effective 3/3/21]</w:t>
      </w:r>
    </w:p>
    <w:p>
      <w:pPr>
        <w:spacing w:before="0" w:after="0"/>
        <w:ind w:left="120"/>
        <w:jc w:val="center"/>
      </w:pPr>
      <w:r>
        <w:rPr>
          <w:rFonts w:ascii="Times New Roman" w:hAnsi="Times New Roman"/>
          <w:b w:val="false"/>
          <w:i w:val="false"/>
          <w:color w:val="000000"/>
          <w:sz w:val="21"/>
        </w:rPr>
        <w:t>[Filed ARC 5671C</w:t>
      </w:r>
      <w:r>
        <w:rPr>
          <w:rFonts w:ascii="Times New Roman" w:hAnsi="Times New Roman"/>
          <w:b w:val="false"/>
          <w:i w:val="false"/>
          <w:color w:val="000000"/>
          <w:sz w:val="21"/>
        </w:rPr>
        <w:t xml:space="preserve"> (Notice ARC 5552C, IAB 4/7/21)</w:t>
      </w:r>
      <w:r>
        <w:rPr>
          <w:rFonts w:ascii="Times New Roman" w:hAnsi="Times New Roman"/>
          <w:b w:val="false"/>
          <w:i w:val="false"/>
          <w:color w:val="000000"/>
          <w:sz w:val="21"/>
        </w:rPr>
        <w:t>, IAB 6/2/21, effective 7/7/21]</w:t>
      </w:r>
    </w:p>
    <w:p>
      <w:pPr>
        <w:spacing w:before="0" w:after="0"/>
        <w:ind w:left="120"/>
        <w:jc w:val="center"/>
      </w:pPr>
      <w:r>
        <w:rPr>
          <w:rFonts w:ascii="Times New Roman" w:hAnsi="Times New Roman"/>
          <w:b w:val="false"/>
          <w:i w:val="false"/>
          <w:color w:val="000000"/>
          <w:sz w:val="21"/>
        </w:rPr>
        <w:t>[Editorial change: IAC Supplement 6/14/23]</w:t>
      </w:r>
    </w:p>
    <w:p>
      <w:pPr>
        <w:spacing w:before="0" w:after="0"/>
        <w:ind w:left="120"/>
        <w:jc w:val="center"/>
      </w:pPr>
      <w:r>
        <w:rPr>
          <w:rFonts w:ascii="Times New Roman" w:hAnsi="Times New Roman"/>
          <w:b w:val="false"/>
          <w:i w:val="false"/>
          <w:color w:val="000000"/>
          <w:sz w:val="21"/>
        </w:rPr>
        <w:t>[Filed Emergency After Notice ARC 8178C</w:t>
      </w:r>
      <w:r>
        <w:rPr>
          <w:rFonts w:ascii="Times New Roman" w:hAnsi="Times New Roman"/>
          <w:b w:val="false"/>
          <w:i w:val="false"/>
          <w:color w:val="000000"/>
          <w:sz w:val="21"/>
        </w:rPr>
        <w:t xml:space="preserve"> (Notice ARC 8064C, IAB 6/12/24)</w:t>
      </w:r>
      <w:r>
        <w:rPr>
          <w:rFonts w:ascii="Times New Roman" w:hAnsi="Times New Roman"/>
          <w:b w:val="false"/>
          <w:i w:val="false"/>
          <w:color w:val="000000"/>
          <w:sz w:val="21"/>
        </w:rPr>
        <w:t>, IAB 8/7/24, effective 7/17/24]</w:t>
      </w:r>
    </w:p>
    <w:p>
      <w:pPr>
        <w:spacing w:before="0" w:after="0"/>
        <w:ind w:left="120"/>
        <w:jc w:val="center"/>
      </w:pPr>
      <w:r>
        <w:rPr>
          <w:rFonts w:ascii="Times New Roman" w:hAnsi="Times New Roman"/>
          <w:b w:val="false"/>
          <w:i w:val="false"/>
          <w:color w:val="000000"/>
          <w:sz w:val="21"/>
        </w:rPr>
        <w:t>[Editorial change: IAC Supplement 6/10/26]</w:t>
      </w:r>
    </w:p>
    <w:sectPr>
      <w:footerReference r:id="rId3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04.2.pdf" Type="http://schemas.openxmlformats.org/officeDocument/2006/relationships/hyperlink" Id="rId5"/>
    <Relationship TargetMode="External" Target="https://www.legis.iowa.gov/docs/ico/chapter/204.pdf" Type="http://schemas.openxmlformats.org/officeDocument/2006/relationships/hyperlink" Id="rId6"/>
    <Relationship TargetMode="External" Target="https://www.legis.iowa.gov/docs/ico/chapter/137F.1.pdf" Type="http://schemas.openxmlformats.org/officeDocument/2006/relationships/hyperlink" Id="rId7"/>
    <Relationship TargetMode="External" Target="https://www.legis.iowa.gov/docs/ico/chapter/204.7.pdf" Type="http://schemas.openxmlformats.org/officeDocument/2006/relationships/hyperlink" Id="rId8"/>
    <Relationship TargetMode="External" Target="https://www.legis.iowa.gov/docs/ico/chapter/204.7.pdf" Type="http://schemas.openxmlformats.org/officeDocument/2006/relationships/hyperlink" Id="rId9"/>
    <Relationship TargetMode="External" Target="https://www.legis.iowa.gov/docs/iac/rule/641.156.7.pdf" Type="http://schemas.openxmlformats.org/officeDocument/2006/relationships/hyperlink" Id="rId10"/>
    <Relationship TargetMode="External" Target="https://www.legis.iowa.gov/docs/ico/chapter/204.8.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204.8.pdf" Type="http://schemas.openxmlformats.org/officeDocument/2006/relationships/hyperlink" Id="rId13"/>
    <Relationship TargetMode="External" Target="https://www.legis.iowa.gov/docs/ico/chapter/204.2.pdf" Type="http://schemas.openxmlformats.org/officeDocument/2006/relationships/hyperlink" Id="rId14"/>
    <Relationship TargetMode="External" Target="https://www.legis.iowa.gov/docs/iac/rule/641.156.4.pdf" Type="http://schemas.openxmlformats.org/officeDocument/2006/relationships/hyperlink" Id="rId15"/>
    <Relationship TargetMode="External" Target="https://www.legis.iowa.gov/docs/ico/chapter/137F.pdf" Type="http://schemas.openxmlformats.org/officeDocument/2006/relationships/hyperlink" Id="rId16"/>
    <Relationship TargetMode="External" Target="https://www.legis.iowa.gov/docs/ico/chapter/137D.pdf" Type="http://schemas.openxmlformats.org/officeDocument/2006/relationships/hyperlink" Id="rId17"/>
    <Relationship TargetMode="External" Target="https://www.legis.iowa.gov/docs/ico/chapter/123.pdf" Type="http://schemas.openxmlformats.org/officeDocument/2006/relationships/hyperlink" Id="rId18"/>
    <Relationship TargetMode="External" Target="https://www.legis.iowa.gov/docs/ico/chapter/123.pdf" Type="http://schemas.openxmlformats.org/officeDocument/2006/relationships/hyperlink" Id="rId19"/>
    <Relationship TargetMode="External" Target="https://www.legis.iowa.gov/docs/ico/chapter/189A.pdf" Type="http://schemas.openxmlformats.org/officeDocument/2006/relationships/hyperlink" Id="rId20"/>
    <Relationship TargetMode="External" Target="https://www.legis.iowa.gov/docs/ico/chapter/189A.pdf" Type="http://schemas.openxmlformats.org/officeDocument/2006/relationships/hyperlink" Id="rId21"/>
    <Relationship TargetMode="External" Target="https://www.legis.iowa.gov/docs/ico/chapter/190.pdf" Type="http://schemas.openxmlformats.org/officeDocument/2006/relationships/hyperlink" Id="rId22"/>
    <Relationship TargetMode="External" Target="https://www.legis.iowa.gov/docs/ico/chapter/192.pdf" Type="http://schemas.openxmlformats.org/officeDocument/2006/relationships/hyperlink" Id="rId23"/>
    <Relationship TargetMode="External" Target="https://www.legis.iowa.gov/docs/ico/chapter/190.pdf" Type="http://schemas.openxmlformats.org/officeDocument/2006/relationships/hyperlink" Id="rId24"/>
    <Relationship TargetMode="External" Target="https://www.legis.iowa.gov/docs/ico/chapter/192.pdf" Type="http://schemas.openxmlformats.org/officeDocument/2006/relationships/hyperlink" Id="rId25"/>
    <Relationship TargetMode="External" Target="https://www.legis.iowa.gov/docs/ico/chapter/204.pdf" Type="http://schemas.openxmlformats.org/officeDocument/2006/relationships/hyperlink" Id="rId26"/>
    <Relationship TargetMode="External" Target="https://www.legis.iowa.gov/docs/iac/rule/641.156.4.pdf" Type="http://schemas.openxmlformats.org/officeDocument/2006/relationships/hyperlink" Id="rId27"/>
    <Relationship TargetMode="External" Target="https://www.legis.iowa.gov/docs/iac/rule/641.156.2.pdf" Type="http://schemas.openxmlformats.org/officeDocument/2006/relationships/hyperlink" Id="rId28"/>
    <Relationship TargetMode="External" Target="https://www.legis.iowa.gov/docs/iac/rule/641.156.8.pdf" Type="http://schemas.openxmlformats.org/officeDocument/2006/relationships/hyperlink" Id="rId29"/>
    <Relationship TargetMode="External" Target="https://www.legis.iowa.gov/docs/iac/rule/641.156.2.pdf" Type="http://schemas.openxmlformats.org/officeDocument/2006/relationships/hyperlink" Id="rId30"/>
    <Relationship TargetMode="External" Target="https://www.legis.iowa.gov/docs/ico/chapter/204.pdf" Type="http://schemas.openxmlformats.org/officeDocument/2006/relationships/hyperlink" Id="rId31"/>
    <Relationship TargetMode="External" Target="https://www.legis.iowa.gov/docs/ico/chapter/204.7.pdf" Type="http://schemas.openxmlformats.org/officeDocument/2006/relationships/hyperlink" Id="rId32"/>
    <Relationship TargetMode="External" Target="https://www.legis.iowa.gov/docs/ico/chapter/204.pdf" Type="http://schemas.openxmlformats.org/officeDocument/2006/relationships/hyperlink" Id="rId33"/>
    <Relationship TargetMode="External" Target="https://www.legis.iowa.gov/docs/iac/chapter/441.2506.pdf" Type="http://schemas.openxmlformats.org/officeDocument/2006/relationships/hyperlink" Id="rId34"/>
    <Relationship TargetMode="External" Target="https://www.legis.iowa.gov/docs/ico/chapter/124.506.pdf" Type="http://schemas.openxmlformats.org/officeDocument/2006/relationships/hyperlink" Id="rId35"/>
    <Relationship TargetMode="External" Target="https://www.legis.iowa.gov/docs/ico/chapter/204.pdf" Type="http://schemas.openxmlformats.org/officeDocument/2006/relationships/hyperlink" Id="rId36"/>
    <Relationship Target="footer.xml" Type="http://schemas.openxmlformats.org/officeDocument/2006/relationships/footer" Id="rId3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