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155</w:t>
      </w:r>
    </w:p>
    <w:p>
      <w:pPr>
        <w:spacing w:before="0" w:after="0"/>
        <w:ind w:left="120"/>
        <w:jc w:val="center"/>
      </w:pPr>
      <w:r>
        <w:rPr>
          <w:rFonts w:ascii="Times New Roman" w:hAnsi="Times New Roman"/>
          <w:b w:val="false"/>
          <w:i w:val="false"/>
          <w:color w:val="000000"/>
          <w:sz w:val="21"/>
        </w:rPr>
        <w:t xml:space="preserve">LICENSURE STANDARDS FOR SUBSTANCE USE DISORDER </w:t>
      </w:r>
      <w:r>
        <w:br/>
      </w:r>
      <w:r>
        <w:rPr>
          <w:rFonts w:ascii="Times New Roman" w:hAnsi="Times New Roman"/>
          <w:b w:val="false"/>
          <w:i w:val="false"/>
          <w:color w:val="000000"/>
          <w:sz w:val="21"/>
        </w:rPr>
        <w:t>AND PROBLEM GAMBLING TREATMENT PROGRAMS</w:t>
      </w:r>
    </w:p>
    <w:p>
      <w:pPr>
        <w:spacing w:before="0" w:after="0"/>
        <w:ind w:left="120"/>
        <w:jc w:val="center"/>
      </w:pPr>
      <w:r>
        <w:rPr>
          <w:rFonts w:ascii="Times New Roman" w:hAnsi="Times New Roman"/>
          <w:b w:val="false"/>
          <w:i w:val="false"/>
          <w:color w:val="000000"/>
          <w:sz w:val="14"/>
        </w:rPr>
        <w:t>[Prior to 7/27/88, see Substance Abuse, Iowa Department of[805] Ch 3]</w:t>
      </w:r>
    </w:p>
    <w:p>
      <w:pPr>
        <w:spacing w:before="0" w:after="0"/>
        <w:ind w:left="120"/>
        <w:jc w:val="center"/>
      </w:pPr>
      <w:r>
        <w:rPr>
          <w:rFonts w:ascii="Times New Roman" w:hAnsi="Times New Roman"/>
          <w:b w:val="false"/>
          <w:i w:val="false"/>
          <w:color w:val="000000"/>
          <w:sz w:val="14"/>
        </w:rPr>
        <w:t>[Prior to 3/29/06, see 643—Ch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641—155.1</w:t>
      </w:r>
      <w:r>
        <w:rPr>
          <w:rFonts w:ascii="Times New Roman" w:hAnsi="Times New Roman"/>
          <w:b/>
          <w:i w:val="false"/>
          <w:color w:val="000000"/>
          <w:sz w:val="22"/>
        </w:rPr>
        <w:t xml:space="preserve">(125,135)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indicated, the following definitions apply to the specific terms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opioid treatment program”</w:t>
      </w:r>
      <w:r>
        <w:rPr>
          <w:rFonts w:ascii="Times New Roman" w:hAnsi="Times New Roman"/>
          <w:b w:val="false"/>
          <w:i w:val="false"/>
          <w:color w:val="000000"/>
          <w:sz w:val="22"/>
        </w:rPr>
        <w:t> </w:t>
      </w:r>
      <w:r>
        <w:rPr>
          <w:rFonts w:ascii="Times New Roman" w:hAnsi="Times New Roman"/>
          <w:b w:val="false"/>
          <w:i w:val="false"/>
          <w:color w:val="000000"/>
          <w:sz w:val="22"/>
        </w:rPr>
        <w:t>means an opioid treatment program that is the subject of a current, valid accreditation from an accreditation body approved by the Substance Abuse and Mental Health Services Administration (SAMHSA).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“Addictive disorder”</w:t>
      </w:r>
      <w:r>
        <w:rPr>
          <w:rFonts w:ascii="Times New Roman" w:hAnsi="Times New Roman"/>
          <w:b w:val="false"/>
          <w:i w:val="false"/>
          <w:color w:val="000000"/>
          <w:sz w:val="22"/>
        </w:rPr>
        <w:t> </w:t>
      </w:r>
      <w:r>
        <w:rPr>
          <w:rFonts w:ascii="Times New Roman" w:hAnsi="Times New Roman"/>
          <w:b w:val="false"/>
          <w:i w:val="false"/>
          <w:color w:val="000000"/>
          <w:sz w:val="22"/>
        </w:rPr>
        <w:t>means a substance use disorder and problem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“Addictive disorder professional”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qualified by virtue of certification or license and education, training and experience to provide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“Administration”</w:t>
      </w:r>
      <w:r>
        <w:rPr>
          <w:rFonts w:ascii="Times New Roman" w:hAnsi="Times New Roman"/>
          <w:b w:val="false"/>
          <w:i w:val="false"/>
          <w:color w:val="000000"/>
          <w:sz w:val="22"/>
        </w:rPr>
        <w:t> </w:t>
      </w:r>
      <w:r>
        <w:rPr>
          <w:rFonts w:ascii="Times New Roman" w:hAnsi="Times New Roman"/>
          <w:b w:val="false"/>
          <w:i w:val="false"/>
          <w:color w:val="000000"/>
          <w:sz w:val="22"/>
        </w:rPr>
        <w:t>means the direct application of a prescription medication to a patient by a prescriber or the prescriber’s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“Admission”</w:t>
      </w:r>
      <w:r>
        <w:rPr>
          <w:rFonts w:ascii="Times New Roman" w:hAnsi="Times New Roman"/>
          <w:b w:val="false"/>
          <w:i w:val="false"/>
          <w:color w:val="000000"/>
          <w:sz w:val="22"/>
        </w:rPr>
        <w:t> </w:t>
      </w:r>
      <w:r>
        <w:rPr>
          <w:rFonts w:ascii="Times New Roman" w:hAnsi="Times New Roman"/>
          <w:b w:val="false"/>
          <w:i w:val="false"/>
          <w:color w:val="000000"/>
          <w:sz w:val="22"/>
        </w:rPr>
        <w:t>means the point at which an initial assessment has been completed sufficient to determine the patient’s need and eligibility for program services and the patient has agreed to begin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“Admission, continued service, and discharge criteria”</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dimensions to be considered in determining the level of care appropriate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facility, or legal entity that has applied for an initial license, renewal of a license, or a license under deemed status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through which an applicant requests an initial license, renewal of a license, or a license under deemed status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“ASAM criteria”</w:t>
      </w:r>
      <w:r>
        <w:rPr>
          <w:rFonts w:ascii="Times New Roman" w:hAnsi="Times New Roman"/>
          <w:b w:val="false"/>
          <w:i w:val="false"/>
          <w:color w:val="000000"/>
          <w:sz w:val="22"/>
        </w:rPr>
        <w:t> </w:t>
      </w:r>
      <w:r>
        <w:rPr>
          <w:rFonts w:ascii="Times New Roman" w:hAnsi="Times New Roman"/>
          <w:b w:val="false"/>
          <w:i w:val="false"/>
          <w:color w:val="000000"/>
          <w:sz w:val="22"/>
        </w:rPr>
        <w:t>means the clinical guide for the treatment of addictive, substance use and co-occurring conditions as published by the American Society of Addiction Medicine (ASAM)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ongoing process of evaluating a patient’s strengths, resources, preferences, limitations, problems, and needs; determining the licensed program services needed by the patient; determining the patient’s eligibility for program services; and identifying treatment plan priorities, in accordance with the ASAM criteria and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coordination”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collaborative process that assesses, plans, implements, coordinates, monitors and evaluates the options and services, both internal and external to the program, to meet patient needs, using communication and available resources to promote quality care and 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SAMHSA determines that an opioid treatment program is qualified to provide opioid treatment under the federal opioid treatment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application”</w:t>
      </w:r>
      <w:r>
        <w:rPr>
          <w:rFonts w:ascii="Times New Roman" w:hAnsi="Times New Roman"/>
          <w:b w:val="false"/>
          <w:i w:val="false"/>
          <w:color w:val="000000"/>
          <w:sz w:val="22"/>
        </w:rPr>
        <w:t> </w:t>
      </w:r>
      <w:r>
        <w:rPr>
          <w:rFonts w:ascii="Times New Roman" w:hAnsi="Times New Roman"/>
          <w:b w:val="false"/>
          <w:i w:val="false"/>
          <w:color w:val="000000"/>
          <w:sz w:val="22"/>
        </w:rPr>
        <w:t>means the application filed by an opioid treatment program for purposes of obtaining certification from SAMHSA.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opioid treatment program”</w:t>
      </w:r>
      <w:r>
        <w:rPr>
          <w:rFonts w:ascii="Times New Roman" w:hAnsi="Times New Roman"/>
          <w:b w:val="false"/>
          <w:i w:val="false"/>
          <w:color w:val="000000"/>
          <w:sz w:val="22"/>
        </w:rPr>
        <w:t> </w:t>
      </w:r>
      <w:r>
        <w:rPr>
          <w:rFonts w:ascii="Times New Roman" w:hAnsi="Times New Roman"/>
          <w:b w:val="false"/>
          <w:i w:val="false"/>
          <w:color w:val="000000"/>
          <w:sz w:val="22"/>
        </w:rPr>
        <w:t>means an opioid treatment program that is the subject of a current, valid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“Chemical substance”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alcohol, wine, spirits and beer as defined in Iowa Code chapter </w:t>
      </w:r>
      <w:hyperlink r:id="rId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controlled substances as defined in Iowa Code section </w:t>
      </w:r>
      <w:hyperlink r:id="rId6">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“Clinically managed”</w:t>
      </w:r>
      <w:r>
        <w:rPr>
          <w:rFonts w:ascii="Times New Roman" w:hAnsi="Times New Roman"/>
          <w:b w:val="false"/>
          <w:i w:val="false"/>
          <w:color w:val="000000"/>
          <w:sz w:val="22"/>
        </w:rPr>
        <w:t> </w:t>
      </w:r>
      <w:r>
        <w:rPr>
          <w:rFonts w:ascii="Times New Roman" w:hAnsi="Times New Roman"/>
          <w:b w:val="false"/>
          <w:i w:val="false"/>
          <w:color w:val="000000"/>
          <w:sz w:val="22"/>
        </w:rPr>
        <w:t>means that program services are directed by addictive disorder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“Clinically managed high-intensity residential treatment”</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totaling at least 50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“Clinically managed low-intensity residential treatment”</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totaling at least five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“Clinically managed medium-intensity residential treatment”</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totaling at least 30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oversight”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oversight provided by an individual who, by virtue of certification or license and education, training and experience is qualified to oversee treatment services in accordance with subrule </w:t>
      </w:r>
      <w:hyperlink r:id="rId7">
        <w:r>
          <w:rPr>
            <w:rStyle w:val="Hyperlink"/>
            <w:rFonts w:ascii="Times New Roman" w:hAnsi="Times New Roman"/>
            <w:b w:val="false"/>
            <w:i w:val="false"/>
            <w:color w:val="000000"/>
            <w:sz w:val="22"/>
          </w:rPr>
          <w:t>155.21(3)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maintenance treatment”</w:t>
      </w:r>
      <w:r>
        <w:rPr>
          <w:rFonts w:ascii="Times New Roman" w:hAnsi="Times New Roman"/>
          <w:b w:val="false"/>
          <w:i w:val="false"/>
          <w:color w:val="000000"/>
          <w:sz w:val="22"/>
        </w:rPr>
        <w:t> </w:t>
      </w:r>
      <w:r>
        <w:rPr>
          <w:rFonts w:ascii="Times New Roman" w:hAnsi="Times New Roman"/>
          <w:b w:val="false"/>
          <w:i w:val="false"/>
          <w:color w:val="000000"/>
          <w:sz w:val="22"/>
        </w:rPr>
        <w:t>means maintenance treatment provided in conjunction with a comprehensive range of appropriate medical and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“Concerned 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seeking treatment services due to problems arising from a personal relationship with an individual with an addictive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“Confidentiality”</w:t>
      </w:r>
      <w:r>
        <w:rPr>
          <w:rFonts w:ascii="Times New Roman" w:hAnsi="Times New Roman"/>
          <w:b w:val="false"/>
          <w:i w:val="false"/>
          <w:color w:val="000000"/>
          <w:sz w:val="22"/>
        </w:rPr>
        <w:t> </w:t>
      </w:r>
      <w:r>
        <w:rPr>
          <w:rFonts w:ascii="Times New Roman" w:hAnsi="Times New Roman"/>
          <w:b w:val="false"/>
          <w:i w:val="false"/>
          <w:color w:val="000000"/>
          <w:sz w:val="22"/>
        </w:rPr>
        <w:t>means protection of patient information in compliance with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“Crisis stabilization”</w:t>
      </w:r>
      <w:r>
        <w:rPr>
          <w:rFonts w:ascii="Times New Roman" w:hAnsi="Times New Roman"/>
          <w:b w:val="false"/>
          <w:i w:val="false"/>
          <w:color w:val="000000"/>
          <w:sz w:val="22"/>
        </w:rPr>
        <w:t> </w:t>
      </w:r>
      <w:r>
        <w:rPr>
          <w:rFonts w:ascii="Times New Roman" w:hAnsi="Times New Roman"/>
          <w:b w:val="false"/>
          <w:i w:val="false"/>
          <w:color w:val="000000"/>
          <w:sz w:val="22"/>
        </w:rPr>
        <w:t>means medically monitored subacute inpatient services for individuals with urgent addictive disorder needs requiring immediate intervention, assessment, and mobilization of family, community and program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“Data reporting”</w:t>
      </w:r>
      <w:r>
        <w:rPr>
          <w:rFonts w:ascii="Times New Roman" w:hAnsi="Times New Roman"/>
          <w:b w:val="false"/>
          <w:i w:val="false"/>
          <w:color w:val="000000"/>
          <w:sz w:val="22"/>
        </w:rPr>
        <w:t> </w:t>
      </w:r>
      <w:r>
        <w:rPr>
          <w:rFonts w:ascii="Times New Roman" w:hAnsi="Times New Roman"/>
          <w:b w:val="false"/>
          <w:i w:val="false"/>
          <w:color w:val="000000"/>
          <w:sz w:val="22"/>
        </w:rPr>
        <w:t>means the required submission of certain patient demographic and program services information to the department by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“Dimension”</w:t>
      </w:r>
      <w:r>
        <w:rPr>
          <w:rFonts w:ascii="Times New Roman" w:hAnsi="Times New Roman"/>
          <w:b w:val="false"/>
          <w:i w:val="false"/>
          <w:color w:val="000000"/>
          <w:sz w:val="22"/>
        </w:rPr>
        <w:t> </w:t>
      </w:r>
      <w:r>
        <w:rPr>
          <w:rFonts w:ascii="Times New Roman" w:hAnsi="Times New Roman"/>
          <w:b w:val="false"/>
          <w:i w:val="false"/>
          <w:color w:val="000000"/>
          <w:sz w:val="22"/>
        </w:rPr>
        <w:t>means one of the six ASAM criteria patient biopsychosocial areas to be considered in the assessment process to identify patient needs and determine the appropriate level of care for admission and continued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w:t>
      </w:r>
      <w:r>
        <w:rPr>
          <w:rFonts w:ascii="Times New Roman" w:hAnsi="Times New Roman"/>
          <w:b w:val="false"/>
          <w:i w:val="false"/>
          <w:color w:val="000000"/>
          <w:sz w:val="22"/>
        </w:rPr>
        <w:t> </w:t>
      </w:r>
      <w:r>
        <w:rPr>
          <w:rFonts w:ascii="Times New Roman" w:hAnsi="Times New Roman"/>
          <w:b w:val="false"/>
          <w:i w:val="false"/>
          <w:color w:val="000000"/>
          <w:sz w:val="22"/>
        </w:rPr>
        <w:t>means the point at which the patient ceases participation in licensed program services, marking the end of a specific encounter or episode of care. Discharge does not require termination of the relationship between the patient and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 planning”</w:t>
      </w:r>
      <w:r>
        <w:rPr>
          <w:rFonts w:ascii="Times New Roman" w:hAnsi="Times New Roman"/>
          <w:b w:val="false"/>
          <w:i w:val="false"/>
          <w:color w:val="000000"/>
          <w:sz w:val="22"/>
        </w:rPr>
        <w:t> </w:t>
      </w:r>
      <w:r>
        <w:rPr>
          <w:rFonts w:ascii="Times New Roman" w:hAnsi="Times New Roman"/>
          <w:b w:val="false"/>
          <w:i w:val="false"/>
          <w:color w:val="000000"/>
          <w:sz w:val="22"/>
        </w:rPr>
        <w:t>means the process, begun at admission, of determining a patient’s continued need for licensed program services and of developing a plan to address ongoing patient needs following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published by the American Psychiatric Association as amended to August 1, 2025, and all references to the DSM herein are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intervention”</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that explores and addresses problems or risk factors that appear to be related to an addictive disorder and that helps the individual recognize potential harmful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“Enhanced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licensee that provides enhanced treatment services in accordance with paragraph </w:t>
      </w:r>
      <w:hyperlink r:id="rId8">
        <w:r>
          <w:rPr>
            <w:rStyle w:val="Hyperlink"/>
            <w:rFonts w:ascii="Times New Roman" w:hAnsi="Times New Roman"/>
            <w:b w:val="false"/>
            <w:i w:val="false"/>
            <w:color w:val="000000"/>
            <w:sz w:val="22"/>
          </w:rPr>
          <w:t>155.2(2)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641—155.34</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“Enhanced treatment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licensed program services provided in accordance with paragraph </w:t>
      </w:r>
      <w:hyperlink r:id="rId10">
        <w:r>
          <w:rPr>
            <w:rStyle w:val="Hyperlink"/>
            <w:rFonts w:ascii="Times New Roman" w:hAnsi="Times New Roman"/>
            <w:b w:val="false"/>
            <w:i w:val="false"/>
            <w:color w:val="000000"/>
            <w:sz w:val="22"/>
          </w:rPr>
          <w:t>155.2(2)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641—155.34</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 or an installation providing care, maintenance or treatment for persons with substance use disorders licensed by the department under Iowa Code section </w:t>
      </w:r>
      <w:hyperlink r:id="rId1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hospitals licensed under Iowa Code chapter </w:t>
      </w:r>
      <w:hyperlink r:id="rId13">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the state mental health institutes designated by Iowa Code chapter </w:t>
      </w:r>
      <w:hyperlink r:id="rId14">
        <w:r>
          <w:rPr>
            <w:rStyle w:val="Hyperlink"/>
            <w:rFonts w:ascii="Times New Roman" w:hAnsi="Times New Roman"/>
            <w:b w:val="false"/>
            <w:i w:val="false"/>
            <w:color w:val="000000"/>
            <w:sz w:val="22"/>
          </w:rPr>
          <w:t>226</w:t>
        </w:r>
      </w:hyperlink>
      <w:r>
        <w:rPr>
          <w:rFonts w:ascii="Times New Roman" w:hAnsi="Times New Roman"/>
          <w:b w:val="false"/>
          <w:i w:val="false"/>
          <w:color w:val="000000"/>
          <w:sz w:val="22"/>
        </w:rPr>
        <w:t>. “Facility” also means the physical areas such as grounds, buildings, or portions thereof under administrative control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“Governing body”</w:t>
      </w:r>
      <w:r>
        <w:rPr>
          <w:rFonts w:ascii="Times New Roman" w:hAnsi="Times New Roman"/>
          <w:b w:val="false"/>
          <w:i w:val="false"/>
          <w:color w:val="000000"/>
          <w:sz w:val="22"/>
        </w:rPr>
        <w:t> </w:t>
      </w:r>
      <w:r>
        <w:rPr>
          <w:rFonts w:ascii="Times New Roman" w:hAnsi="Times New Roman"/>
          <w:b w:val="false"/>
          <w:i w:val="false"/>
          <w:color w:val="000000"/>
          <w:sz w:val="22"/>
        </w:rPr>
        <w:t>means the person, group, or legal entity that has ultimate authority and responsibility for the overall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“Inpatient”</w:t>
      </w:r>
      <w:r>
        <w:rPr>
          <w:rFonts w:ascii="Times New Roman" w:hAnsi="Times New Roman"/>
          <w:b w:val="false"/>
          <w:i w:val="false"/>
          <w:color w:val="000000"/>
          <w:sz w:val="22"/>
        </w:rPr>
        <w:t> </w:t>
      </w:r>
      <w:r>
        <w:rPr>
          <w:rFonts w:ascii="Times New Roman" w:hAnsi="Times New Roman"/>
          <w:b w:val="false"/>
          <w:i w:val="false"/>
          <w:color w:val="000000"/>
          <w:sz w:val="22"/>
        </w:rPr>
        <w:t>means 24-hour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“Intensive outpatient treatment”</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totaling a minimum of nine hours of clinically managed outpatient treatment services per week for adults or a minimum of six hours of clinically managed outpatient treatment services per week for juveniles.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“Interim maintenance treatment”</w:t>
      </w:r>
      <w:r>
        <w:rPr>
          <w:rFonts w:ascii="Times New Roman" w:hAnsi="Times New Roman"/>
          <w:b w:val="false"/>
          <w:i w:val="false"/>
          <w:color w:val="000000"/>
          <w:sz w:val="22"/>
        </w:rPr>
        <w:t> </w:t>
      </w:r>
      <w:r>
        <w:rPr>
          <w:rFonts w:ascii="Times New Roman" w:hAnsi="Times New Roman"/>
          <w:b w:val="false"/>
          <w:i w:val="false"/>
          <w:color w:val="000000"/>
          <w:sz w:val="22"/>
        </w:rPr>
        <w:t>means withdrawal management for a period of more than 30 days but not in excess of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“level of service”</w:t>
      </w:r>
      <w:r>
        <w:rPr>
          <w:rFonts w:ascii="Times New Roman" w:hAnsi="Times New Roman"/>
          <w:b w:val="false"/>
          <w:i w:val="false"/>
          <w:color w:val="000000"/>
          <w:sz w:val="22"/>
        </w:rPr>
        <w:t> </w:t>
      </w:r>
      <w:r>
        <w:rPr>
          <w:rFonts w:ascii="Times New Roman" w:hAnsi="Times New Roman"/>
          <w:b w:val="false"/>
          <w:i w:val="false"/>
          <w:color w:val="000000"/>
          <w:sz w:val="22"/>
        </w:rPr>
        <w:t>means the different ASAM criteria service options. “Level of care” also means certain licensed program services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program services”</w:t>
      </w:r>
      <w:r>
        <w:rPr>
          <w:rFonts w:ascii="Times New Roman" w:hAnsi="Times New Roman"/>
          <w:b w:val="false"/>
          <w:i w:val="false"/>
          <w:color w:val="000000"/>
          <w:sz w:val="22"/>
        </w:rPr>
        <w:t> </w:t>
      </w:r>
      <w:r>
        <w:rPr>
          <w:rFonts w:ascii="Times New Roman" w:hAnsi="Times New Roman"/>
          <w:b w:val="false"/>
          <w:i w:val="false"/>
          <w:color w:val="000000"/>
          <w:sz w:val="22"/>
        </w:rPr>
        <w:t>means the services a licensee may be authorized to provide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program licensed by the department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 license by the department pursuant to these rules that validates the licensee’s compliance with these rules and authorizes the licensee to operate a program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weighting report”</w:t>
      </w:r>
      <w:r>
        <w:rPr>
          <w:rFonts w:ascii="Times New Roman" w:hAnsi="Times New Roman"/>
          <w:b w:val="false"/>
          <w:i w:val="false"/>
          <w:color w:val="000000"/>
          <w:sz w:val="22"/>
        </w:rPr>
        <w:t> </w:t>
      </w:r>
      <w:r>
        <w:rPr>
          <w:rFonts w:ascii="Times New Roman" w:hAnsi="Times New Roman"/>
          <w:b w:val="false"/>
          <w:i w:val="false"/>
          <w:color w:val="000000"/>
          <w:sz w:val="22"/>
        </w:rPr>
        <w:t>means the department’s report that is used to determine an applicant’s level of compliance with these rules and the length of time a license will be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prolonged, scheduled administration of an opiate agonist medication such as buprenorphine or methadone by an opioid treatment program in accordance with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 treatment”</w:t>
      </w:r>
      <w:r>
        <w:rPr>
          <w:rFonts w:ascii="Times New Roman" w:hAnsi="Times New Roman"/>
          <w:b w:val="false"/>
          <w:i w:val="false"/>
          <w:color w:val="000000"/>
          <w:sz w:val="22"/>
        </w:rPr>
        <w:t> </w:t>
      </w:r>
      <w:r>
        <w:rPr>
          <w:rFonts w:ascii="Times New Roman" w:hAnsi="Times New Roman"/>
          <w:b w:val="false"/>
          <w:i w:val="false"/>
          <w:color w:val="000000"/>
          <w:sz w:val="22"/>
        </w:rPr>
        <w:t>means the dispensing of a medication for opioid use disorder (MOUD) at stable dosage levels for a period in excess of 21 days in the treatment of an individual for opioid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“Management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ongoing application of the ASAM criteria and the coordination of care to ensure the appropriate provision of licensed program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and rehabilitative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such as medical evaluations, counseling, and rehabilitative and other social programs (e.g., vocational and educational guidance, employment placement) that are intended to help patients in opioid treatment programs become or remain productive members of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who is licensed to practice medicine in accordance with Iowa Code chapter </w:t>
      </w:r>
      <w:hyperlink r:id="rId1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who assumes responsibility for administering all medical services performed by the program, either by performing them directly or by delegating specific responsibility to authorized program physicians and health care professionals functioning under the medical director’s direct supervision. Such delegations will not eliminate the medical director’s responsibility for all medical and behavioral health services provided by the OTP.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managed”</w:t>
      </w:r>
      <w:r>
        <w:rPr>
          <w:rFonts w:ascii="Times New Roman" w:hAnsi="Times New Roman"/>
          <w:b w:val="false"/>
          <w:i w:val="false"/>
          <w:color w:val="000000"/>
          <w:sz w:val="22"/>
        </w:rPr>
        <w:t> </w:t>
      </w:r>
      <w:r>
        <w:rPr>
          <w:rFonts w:ascii="Times New Roman" w:hAnsi="Times New Roman"/>
          <w:b w:val="false"/>
          <w:i w:val="false"/>
          <w:color w:val="000000"/>
          <w:sz w:val="22"/>
        </w:rPr>
        <w:t>means that the inpatient program services that involve daily medical care in a hospital setting are directed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managed intensive inpatient treatment”</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for medically managed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monitored”</w:t>
      </w:r>
      <w:r>
        <w:rPr>
          <w:rFonts w:ascii="Times New Roman" w:hAnsi="Times New Roman"/>
          <w:b w:val="false"/>
          <w:i w:val="false"/>
          <w:color w:val="000000"/>
          <w:sz w:val="22"/>
        </w:rPr>
        <w:t> </w:t>
      </w:r>
      <w:r>
        <w:rPr>
          <w:rFonts w:ascii="Times New Roman" w:hAnsi="Times New Roman"/>
          <w:b w:val="false"/>
          <w:i w:val="false"/>
          <w:color w:val="000000"/>
          <w:sz w:val="22"/>
        </w:rPr>
        <w:t>means that the program services are directed by addictive disorder professionals with medical oversight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monitored intensive inpatient treatment”</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for medically monitored subacute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“Medication-assisted treatment”</w:t>
      </w:r>
      <w:r>
        <w:rPr>
          <w:rFonts w:ascii="Times New Roman" w:hAnsi="Times New Roman"/>
          <w:b w:val="false"/>
          <w:i w:val="false"/>
          <w:color w:val="000000"/>
          <w:sz w:val="22"/>
        </w:rPr>
        <w:t> </w:t>
      </w:r>
      <w:r>
        <w:rPr>
          <w:rFonts w:ascii="Times New Roman" w:hAnsi="Times New Roman"/>
          <w:b w:val="false"/>
          <w:i w:val="false"/>
          <w:color w:val="000000"/>
          <w:sz w:val="22"/>
        </w:rPr>
        <w:t>means the medically monitored use of certain substance use disorder medications in combination with other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unit”</w:t>
      </w:r>
      <w:r>
        <w:rPr>
          <w:rFonts w:ascii="Times New Roman" w:hAnsi="Times New Roman"/>
          <w:b w:val="false"/>
          <w:i w:val="false"/>
          <w:color w:val="000000"/>
          <w:sz w:val="22"/>
        </w:rPr>
        <w:t> </w:t>
      </w:r>
      <w:r>
        <w:rPr>
          <w:rFonts w:ascii="Times New Roman" w:hAnsi="Times New Roman"/>
          <w:b w:val="false"/>
          <w:i w:val="false"/>
          <w:color w:val="000000"/>
          <w:sz w:val="22"/>
        </w:rPr>
        <w:t>means an entity that is established as part of, but geographically separate from, an OTP from which appropriately licensed OTP practitioners, contractors working on behalf of the OTP, or community pharmacists may dispense or administer MOUD, collect samples for drug testing or analysis, or provide other OTP services. Medication units can be a brick-and-mortar location or mobile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 addiction”</w:t>
      </w:r>
      <w:r>
        <w:rPr>
          <w:rFonts w:ascii="Times New Roman" w:hAnsi="Times New Roman"/>
          <w:b w:val="false"/>
          <w:i w:val="false"/>
          <w:color w:val="000000"/>
          <w:sz w:val="22"/>
        </w:rPr>
        <w:t> </w:t>
      </w:r>
      <w:r>
        <w:rPr>
          <w:rFonts w:ascii="Times New Roman" w:hAnsi="Times New Roman"/>
          <w:b w:val="false"/>
          <w:i w:val="false"/>
          <w:color w:val="000000"/>
          <w:sz w:val="22"/>
        </w:rPr>
        <w:t>means a cluster of cognitive, behavioral, and physiological symptoms in which the individual continues use of opioids despite significant opiate-induced problems. Opioid dependence is characterized by an individual’s repeated self-administration of opioids that usually results in opioid tolerance, withdrawal symptoms, and compulsive drug-taking. Dependency may occur with or without the physiological symptoms of tolerance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 agonist treatment medication”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opioid agonist drug that is approved by the Food and Drug Administration under </w:t>
      </w:r>
      <w:r>
        <w:rPr>
          <w:rFonts w:ascii="Times New Roman" w:hAnsi="Times New Roman"/>
          <w:b w:val="false"/>
          <w:i w:val="false"/>
          <w:color w:val="000000"/>
          <w:sz w:val="22"/>
        </w:rPr>
        <w:t>Section 505 of the Federal Food, Drug, and Cosmetic Act</w:t>
      </w:r>
      <w:r>
        <w:rPr>
          <w:rFonts w:ascii="Times New Roman" w:hAnsi="Times New Roman"/>
          <w:b w:val="false"/>
          <w:i w:val="false"/>
          <w:color w:val="000000"/>
          <w:sz w:val="22"/>
        </w:rPr>
        <w:t xml:space="preserve"> (</w:t>
      </w:r>
      <w:r>
        <w:rPr>
          <w:rFonts w:ascii="Times New Roman" w:hAnsi="Times New Roman"/>
          <w:b w:val="false"/>
          <w:i w:val="false"/>
          <w:color w:val="000000"/>
          <w:sz w:val="22"/>
        </w:rPr>
        <w:t>21 U.S.C. 355</w:t>
      </w:r>
      <w:r>
        <w:rPr>
          <w:rFonts w:ascii="Times New Roman" w:hAnsi="Times New Roman"/>
          <w:b w:val="false"/>
          <w:i w:val="false"/>
          <w:color w:val="000000"/>
          <w:sz w:val="22"/>
        </w:rPr>
        <w:t xml:space="preserve"> as amended to August 1, 2025) for use in the treatment of opiate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 drug”</w:t>
      </w:r>
      <w:r>
        <w:rPr>
          <w:rFonts w:ascii="Times New Roman" w:hAnsi="Times New Roman"/>
          <w:b w:val="false"/>
          <w:i w:val="false"/>
          <w:color w:val="000000"/>
          <w:sz w:val="22"/>
        </w:rPr>
        <w:t> </w:t>
      </w:r>
      <w:r>
        <w:rPr>
          <w:rFonts w:ascii="Times New Roman" w:hAnsi="Times New Roman"/>
          <w:b w:val="false"/>
          <w:i w:val="false"/>
          <w:color w:val="000000"/>
          <w:sz w:val="22"/>
        </w:rPr>
        <w:t>means any drug having an addiction-forming or addiction-sustaining liability similar to morphine or being capable of conversion into a drug having such addiction-forming or addiction-sustaining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 treatment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“OTP”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substance use disorder treatment program or a substance use disorder and problem gambling treatment program licensed to provide opioid treatment services in accordance with Iowa Code section </w:t>
      </w:r>
      <w:hyperlink r:id="rId16">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xml:space="preserve"> and rules </w:t>
      </w:r>
      <w:hyperlink r:id="rId17">
        <w:r>
          <w:rPr>
            <w:rStyle w:val="Hyperlink"/>
            <w:rFonts w:ascii="Times New Roman" w:hAnsi="Times New Roman"/>
            <w:b w:val="false"/>
            <w:i w:val="false"/>
            <w:color w:val="000000"/>
            <w:sz w:val="22"/>
          </w:rPr>
          <w:t>641—155.2</w:t>
        </w:r>
      </w:hyperlink>
      <w:r>
        <w:rPr>
          <w:rFonts w:ascii="Times New Roman" w:hAnsi="Times New Roman"/>
          <w:b w:val="false"/>
          <w:i w:val="false"/>
          <w:color w:val="000000"/>
          <w:sz w:val="22"/>
        </w:rPr>
        <w:t xml:space="preserve">(125,135) and </w:t>
      </w:r>
      <w:hyperlink r:id="rId18">
        <w:r>
          <w:rPr>
            <w:rStyle w:val="Hyperlink"/>
            <w:rFonts w:ascii="Times New Roman" w:hAnsi="Times New Roman"/>
            <w:b w:val="false"/>
            <w:i w:val="false"/>
            <w:color w:val="000000"/>
            <w:sz w:val="22"/>
          </w:rPr>
          <w:t>641—155.35</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 treatment services”</w:t>
      </w:r>
      <w:r>
        <w:rPr>
          <w:rFonts w:ascii="Times New Roman" w:hAnsi="Times New Roman"/>
          <w:b w:val="false"/>
          <w:i w:val="false"/>
          <w:color w:val="000000"/>
          <w:sz w:val="22"/>
        </w:rPr>
        <w:t> </w:t>
      </w:r>
      <w:r>
        <w:rPr>
          <w:rFonts w:ascii="Times New Roman" w:hAnsi="Times New Roman"/>
          <w:b w:val="false"/>
          <w:i w:val="false"/>
          <w:color w:val="000000"/>
          <w:sz w:val="22"/>
        </w:rPr>
        <w:t>means medically monitored outpatient maintenance services provided in accordance with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 use disorder treatment”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“OUD treatment”</w:t>
      </w:r>
      <w:r>
        <w:rPr>
          <w:rFonts w:ascii="Times New Roman" w:hAnsi="Times New Roman"/>
          <w:b w:val="false"/>
          <w:i w:val="false"/>
          <w:color w:val="000000"/>
          <w:sz w:val="22"/>
        </w:rPr>
        <w:t> </w:t>
      </w:r>
      <w:r>
        <w:rPr>
          <w:rFonts w:ascii="Times New Roman" w:hAnsi="Times New Roman"/>
          <w:b w:val="false"/>
          <w:i w:val="false"/>
          <w:color w:val="000000"/>
          <w:sz w:val="22"/>
        </w:rPr>
        <w:t>means the dispensing of MOUD, along with the provision of a range of medical and behavioral health services, as clinically necessary and based on an individualized assessment and a mutually agreed-upon care plan, to an individual to alleviate the combination of adverse medical, psychological, or physical effects associated with an OUD.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w:t>
      </w:r>
      <w:r>
        <w:rPr>
          <w:rFonts w:ascii="Times New Roman" w:hAnsi="Times New Roman"/>
          <w:b w:val="false"/>
          <w:i w:val="false"/>
          <w:color w:val="000000"/>
          <w:sz w:val="22"/>
        </w:rPr>
        <w:t> </w:t>
      </w:r>
      <w:r>
        <w:rPr>
          <w:rFonts w:ascii="Times New Roman" w:hAnsi="Times New Roman"/>
          <w:b w:val="false"/>
          <w:i w:val="false"/>
          <w:color w:val="000000"/>
          <w:sz w:val="22"/>
        </w:rPr>
        <w:t>means non-24-hour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treatment”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ASAM criteria level of care totaling less than nine hours of clinically managed outpatient treatment services per week for adults and less than six hours of clinically managed outpatient treatment services per week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“OWI evaluation”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assessment completed solely for the purpose of compliance with the substance abuse evaluation requirements of Iowa Code chapter </w:t>
      </w:r>
      <w:hyperlink r:id="rId1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“Partial/day treatment”</w:t>
      </w:r>
      <w:r>
        <w:rPr>
          <w:rFonts w:ascii="Times New Roman" w:hAnsi="Times New Roman"/>
          <w:b w:val="false"/>
          <w:i w:val="false"/>
          <w:color w:val="000000"/>
          <w:sz w:val="22"/>
        </w:rPr>
        <w:t> </w:t>
      </w:r>
      <w:r>
        <w:rPr>
          <w:rFonts w:ascii="Times New Roman" w:hAnsi="Times New Roman"/>
          <w:b w:val="false"/>
          <w:i w:val="false"/>
          <w:color w:val="000000"/>
          <w:sz w:val="22"/>
        </w:rPr>
        <w:t>means the ASAM criteria level of care totaling 20 or more hours of clinically managed outpatient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participates in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“Placement”</w:t>
      </w:r>
      <w:r>
        <w:rPr>
          <w:rFonts w:ascii="Times New Roman" w:hAnsi="Times New Roman"/>
          <w:b w:val="false"/>
          <w:i w:val="false"/>
          <w:color w:val="000000"/>
          <w:sz w:val="22"/>
        </w:rPr>
        <w:t> </w:t>
      </w:r>
      <w:r>
        <w:rPr>
          <w:rFonts w:ascii="Times New Roman" w:hAnsi="Times New Roman"/>
          <w:b w:val="false"/>
          <w:i w:val="false"/>
          <w:color w:val="000000"/>
          <w:sz w:val="22"/>
        </w:rPr>
        <w:t>means selection of an appropriate licensed program service, based on ongoing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“Prescriber”</w:t>
      </w:r>
      <w:r>
        <w:rPr>
          <w:rFonts w:ascii="Times New Roman" w:hAnsi="Times New Roman"/>
          <w:b w:val="false"/>
          <w:i w:val="false"/>
          <w:color w:val="000000"/>
          <w:sz w:val="22"/>
        </w:rPr>
        <w:t> </w:t>
      </w:r>
      <w:r>
        <w:rPr>
          <w:rFonts w:ascii="Times New Roman" w:hAnsi="Times New Roman"/>
          <w:b w:val="false"/>
          <w:i w:val="false"/>
          <w:color w:val="000000"/>
          <w:sz w:val="22"/>
        </w:rPr>
        <w:t>means a licensed health care professional with the authority to prescribe medication in accordance with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“Prevention”</w:t>
      </w:r>
      <w:r>
        <w:rPr>
          <w:rFonts w:ascii="Times New Roman" w:hAnsi="Times New Roman"/>
          <w:b w:val="false"/>
          <w:i w:val="false"/>
          <w:color w:val="000000"/>
          <w:sz w:val="22"/>
        </w:rPr>
        <w:t> </w:t>
      </w:r>
      <w:r>
        <w:rPr>
          <w:rFonts w:ascii="Times New Roman" w:hAnsi="Times New Roman"/>
          <w:b w:val="false"/>
          <w:i w:val="false"/>
          <w:color w:val="000000"/>
          <w:sz w:val="22"/>
        </w:rPr>
        <w:t>means activities aimed at minimizing the use of potentially addictive substances, lowering risk in at-risk individuals, or minimizing potential adverse consequences of substance use or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“Prime programming time”</w:t>
      </w:r>
      <w:r>
        <w:rPr>
          <w:rFonts w:ascii="Times New Roman" w:hAnsi="Times New Roman"/>
          <w:b w:val="false"/>
          <w:i w:val="false"/>
          <w:color w:val="000000"/>
          <w:sz w:val="22"/>
        </w:rPr>
        <w:t> </w:t>
      </w:r>
      <w:r>
        <w:rPr>
          <w:rFonts w:ascii="Times New Roman" w:hAnsi="Times New Roman"/>
          <w:b w:val="false"/>
          <w:i w:val="false"/>
          <w:color w:val="000000"/>
          <w:sz w:val="22"/>
        </w:rPr>
        <w:t>means any period of the day, as determined by a program treating juveniles, when special attention or supervision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“Problem gambling”</w:t>
      </w:r>
      <w:r>
        <w:rPr>
          <w:rFonts w:ascii="Times New Roman" w:hAnsi="Times New Roman"/>
          <w:b w:val="false"/>
          <w:i w:val="false"/>
          <w:color w:val="000000"/>
          <w:sz w:val="22"/>
        </w:rPr>
        <w:t> </w:t>
      </w:r>
      <w:r>
        <w:rPr>
          <w:rFonts w:ascii="Times New Roman" w:hAnsi="Times New Roman"/>
          <w:b w:val="false"/>
          <w:i w:val="false"/>
          <w:color w:val="000000"/>
          <w:sz w:val="22"/>
        </w:rPr>
        <w:t>means a gambling disorder that results in a functional impairment of sufficient impact and duration to meet diagnostic criteria specified within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facility, institution, building, agency or legal entity that provides one or more of the services stated in subrule </w:t>
      </w:r>
      <w:hyperlink r:id="rId20">
        <w:r>
          <w:rPr>
            <w:rStyle w:val="Hyperlink"/>
            <w:rFonts w:ascii="Times New Roman" w:hAnsi="Times New Roman"/>
            <w:b w:val="false"/>
            <w:i w:val="false"/>
            <w:color w:val="000000"/>
            <w:sz w:val="22"/>
          </w:rPr>
          <w:t>155.2(2)</w:t>
        </w:r>
      </w:hyperlink>
      <w:r>
        <w:rPr>
          <w:rFonts w:ascii="Times New Roman" w:hAnsi="Times New Roman"/>
          <w:b w:val="false"/>
          <w:i w:val="false"/>
          <w:color w:val="000000"/>
          <w:sz w:val="22"/>
        </w:rPr>
        <w:t xml:space="preserve"> and is required to be licensed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sponsor”</w:t>
      </w:r>
      <w:r>
        <w:rPr>
          <w:rFonts w:ascii="Times New Roman" w:hAnsi="Times New Roman"/>
          <w:b w:val="false"/>
          <w:i w:val="false"/>
          <w:color w:val="000000"/>
          <w:sz w:val="22"/>
        </w:rPr>
        <w:t> </w:t>
      </w:r>
      <w:r>
        <w:rPr>
          <w:rFonts w:ascii="Times New Roman" w:hAnsi="Times New Roman"/>
          <w:b w:val="false"/>
          <w:i w:val="false"/>
          <w:color w:val="000000"/>
          <w:sz w:val="22"/>
        </w:rPr>
        <w:t>means the person responsible for the operation of the opioid treatment program and who assumes responsibility for all its employees, including any practitioners, agents, or other persons providing medical, rehabilitative, or counseling services at the program or any of its medication units. The program sponsor need not be a licensed physician but shall employ a licensed physician for the position of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improvement”</w:t>
      </w:r>
      <w:r>
        <w:rPr>
          <w:rFonts w:ascii="Times New Roman" w:hAnsi="Times New Roman"/>
          <w:b w:val="false"/>
          <w:i w:val="false"/>
          <w:color w:val="000000"/>
          <w:sz w:val="22"/>
        </w:rPr>
        <w:t> </w:t>
      </w:r>
      <w:r>
        <w:rPr>
          <w:rFonts w:ascii="Times New Roman" w:hAnsi="Times New Roman"/>
          <w:b w:val="false"/>
          <w:i w:val="false"/>
          <w:color w:val="000000"/>
          <w:sz w:val="22"/>
        </w:rPr>
        <w:t>means the process of objectively and systematically monitoring and evaluating the quality and appropriateness of patient care and program services and operations to resolve identified problems and to make continued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w:t>
      </w:r>
      <w:r>
        <w:rPr>
          <w:rFonts w:ascii="Times New Roman" w:hAnsi="Times New Roman"/>
          <w:b w:val="false"/>
          <w:i w:val="false"/>
          <w:color w:val="000000"/>
          <w:sz w:val="22"/>
        </w:rPr>
        <w:t> </w:t>
      </w:r>
      <w:r>
        <w:rPr>
          <w:rFonts w:ascii="Times New Roman" w:hAnsi="Times New Roman"/>
          <w:b w:val="false"/>
          <w:i w:val="false"/>
          <w:color w:val="000000"/>
          <w:sz w:val="22"/>
        </w:rPr>
        <w:t>means the process of addressing an addictive disorder and working toward personally defined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 supports”</w:t>
      </w:r>
      <w:r>
        <w:rPr>
          <w:rFonts w:ascii="Times New Roman" w:hAnsi="Times New Roman"/>
          <w:b w:val="false"/>
          <w:i w:val="false"/>
          <w:color w:val="000000"/>
          <w:sz w:val="22"/>
        </w:rPr>
        <w:t> </w:t>
      </w:r>
      <w:r>
        <w:rPr>
          <w:rFonts w:ascii="Times New Roman" w:hAnsi="Times New Roman"/>
          <w:b w:val="false"/>
          <w:i w:val="false"/>
          <w:color w:val="000000"/>
          <w:sz w:val="22"/>
        </w:rPr>
        <w:t>means the broad range of nontreatment services, such as transportation, that assists patients in their recovery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“Rehabilitation”</w:t>
      </w:r>
      <w:r>
        <w:rPr>
          <w:rFonts w:ascii="Times New Roman" w:hAnsi="Times New Roman"/>
          <w:b w:val="false"/>
          <w:i w:val="false"/>
          <w:color w:val="000000"/>
          <w:sz w:val="22"/>
        </w:rPr>
        <w:t> </w:t>
      </w:r>
      <w:r>
        <w:rPr>
          <w:rFonts w:ascii="Times New Roman" w:hAnsi="Times New Roman"/>
          <w:b w:val="false"/>
          <w:i w:val="false"/>
          <w:color w:val="000000"/>
          <w:sz w:val="22"/>
        </w:rPr>
        <w:t>means the restoration of an optimal state of health by medical, psychological, and social means, including peer group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w:t>
      </w:r>
      <w:r>
        <w:rPr>
          <w:rFonts w:ascii="Times New Roman" w:hAnsi="Times New Roman"/>
          <w:b w:val="false"/>
          <w:i w:val="false"/>
          <w:color w:val="000000"/>
          <w:sz w:val="22"/>
        </w:rPr>
        <w:t> </w:t>
      </w:r>
      <w:r>
        <w:rPr>
          <w:rFonts w:ascii="Times New Roman" w:hAnsi="Times New Roman"/>
          <w:b w:val="false"/>
          <w:i w:val="false"/>
          <w:color w:val="000000"/>
          <w:sz w:val="22"/>
        </w:rPr>
        <w:t>means clinically managed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“Screening”</w:t>
      </w:r>
      <w:r>
        <w:rPr>
          <w:rFonts w:ascii="Times New Roman" w:hAnsi="Times New Roman"/>
          <w:b w:val="false"/>
          <w:i w:val="false"/>
          <w:color w:val="000000"/>
          <w:sz w:val="22"/>
        </w:rPr>
        <w:t> </w:t>
      </w:r>
      <w:r>
        <w:rPr>
          <w:rFonts w:ascii="Times New Roman" w:hAnsi="Times New Roman"/>
          <w:b w:val="false"/>
          <w:i w:val="false"/>
          <w:color w:val="000000"/>
          <w:sz w:val="22"/>
        </w:rPr>
        <w:t>means the brief review of a patient’s or potential patient’s current risk factors for an addictive disorder or medical or mental health condition to determine if they indicate a need for immediate admission or referral. Screening is not an assessment and is not sufficient to develop a treatment plan, rule out an addictive disorder, or determine that admission to treatment or referral to other services is not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“Short-term withdrawal management treatment”</w:t>
      </w:r>
      <w:r>
        <w:rPr>
          <w:rFonts w:ascii="Times New Roman" w:hAnsi="Times New Roman"/>
          <w:b w:val="false"/>
          <w:i w:val="false"/>
          <w:color w:val="000000"/>
          <w:sz w:val="22"/>
        </w:rPr>
        <w:t> </w:t>
      </w:r>
      <w:r>
        <w:rPr>
          <w:rFonts w:ascii="Times New Roman" w:hAnsi="Times New Roman"/>
          <w:b w:val="false"/>
          <w:i w:val="false"/>
          <w:color w:val="000000"/>
          <w:sz w:val="22"/>
        </w:rPr>
        <w:t>means withdrawal management treatment for a period not in excess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“Self-administration of medication”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whereby a properly trained and qualified staff person observes a patient take medication prescribed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conducts an activity on behalf of a program as an employee, agent, consultant, contractor, volunteer or other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“Standards category”</w:t>
      </w:r>
      <w:r>
        <w:rPr>
          <w:rFonts w:ascii="Times New Roman" w:hAnsi="Times New Roman"/>
          <w:b w:val="false"/>
          <w:i w:val="false"/>
          <w:color w:val="000000"/>
          <w:sz w:val="22"/>
        </w:rPr>
        <w:t> </w:t>
      </w:r>
      <w:r>
        <w:rPr>
          <w:rFonts w:ascii="Times New Roman" w:hAnsi="Times New Roman"/>
          <w:b w:val="false"/>
          <w:i w:val="false"/>
          <w:color w:val="000000"/>
          <w:sz w:val="22"/>
        </w:rPr>
        <w:t>means the grouping of standards, such as clinical, administrative or programming, in the licensure weighting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authority”</w:t>
      </w:r>
      <w:r>
        <w:rPr>
          <w:rFonts w:ascii="Times New Roman" w:hAnsi="Times New Roman"/>
          <w:b w:val="false"/>
          <w:i w:val="false"/>
          <w:color w:val="000000"/>
          <w:sz w:val="22"/>
        </w:rPr>
        <w:t> </w:t>
      </w:r>
      <w:r>
        <w:rPr>
          <w:rFonts w:ascii="Times New Roman" w:hAnsi="Times New Roman"/>
          <w:b w:val="false"/>
          <w:i w:val="false"/>
          <w:color w:val="000000"/>
          <w:sz w:val="22"/>
        </w:rPr>
        <w:t>means the department, which regulates the treatment of opioid addiction with opioid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“Subacute”</w:t>
      </w:r>
      <w:r>
        <w:rPr>
          <w:rFonts w:ascii="Times New Roman" w:hAnsi="Times New Roman"/>
          <w:b w:val="false"/>
          <w:i w:val="false"/>
          <w:color w:val="000000"/>
          <w:sz w:val="22"/>
        </w:rPr>
        <w:t> </w:t>
      </w:r>
      <w:r>
        <w:rPr>
          <w:rFonts w:ascii="Times New Roman" w:hAnsi="Times New Roman"/>
          <w:b w:val="false"/>
          <w:i w:val="false"/>
          <w:color w:val="000000"/>
          <w:sz w:val="22"/>
        </w:rPr>
        <w:t>means medically monitored inpatient services for individuals who require management, supervision and treatment to reduce immediate risk of danger to self or others or severe disability or complication of an addictive disorder or an addictive disorder and a medical or mental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“Substance abuse treatment and rehabilitation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“substance abuse treatment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required to be licensed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“Substance use disorder”</w:t>
      </w:r>
      <w:r>
        <w:rPr>
          <w:rFonts w:ascii="Times New Roman" w:hAnsi="Times New Roman"/>
          <w:b w:val="false"/>
          <w:i w:val="false"/>
          <w:color w:val="000000"/>
          <w:sz w:val="22"/>
        </w:rPr>
        <w:t> </w:t>
      </w:r>
      <w:r>
        <w:rPr>
          <w:rFonts w:ascii="Times New Roman" w:hAnsi="Times New Roman"/>
          <w:b w:val="false"/>
          <w:i w:val="false"/>
          <w:color w:val="000000"/>
          <w:sz w:val="22"/>
        </w:rPr>
        <w:t>means a substance use disorder that results in a functional impairment of sufficient impact and duration to meet diagnostic criteria specified within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“Telehealth”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514C.34(1)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 frames”</w:t>
      </w:r>
      <w:r>
        <w:rPr>
          <w:rFonts w:ascii="Times New Roman" w:hAnsi="Times New Roman"/>
          <w:b w:val="false"/>
          <w:i w:val="false"/>
          <w:color w:val="000000"/>
          <w:sz w:val="22"/>
        </w:rPr>
        <w:t> </w:t>
      </w:r>
      <w:r>
        <w:rPr>
          <w:rFonts w:ascii="Times New Roman" w:hAnsi="Times New Roman"/>
          <w:b w:val="false"/>
          <w:i w:val="false"/>
          <w:color w:val="000000"/>
          <w:sz w:val="22"/>
        </w:rPr>
        <w:t>means the periods of time specified throughout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w:t>
      </w:r>
      <w:r>
        <w:rPr>
          <w:rFonts w:ascii="Times New Roman" w:hAnsi="Times New Roman"/>
          <w:b w:val="false"/>
          <w:i w:val="false"/>
          <w:color w:val="000000"/>
          <w:sz w:val="22"/>
        </w:rPr>
        <w:t> </w:t>
      </w:r>
      <w:r>
        <w:rPr>
          <w:rFonts w:ascii="Times New Roman" w:hAnsi="Times New Roman"/>
          <w:b w:val="false"/>
          <w:i w:val="false"/>
          <w:color w:val="000000"/>
          <w:sz w:val="22"/>
        </w:rPr>
        <w:t>means the broad range of planned services to identify and change patterns of behavior that are maladaptive, destructive or injurious to health or to restore appropriate levels of physical, psychological or social functioning. Such services may include assessment; care coordination; crisis stabilization; withdrawal management; early intervention; health promotion; individual, group and family counseling; management of care; and medication administration, provided by addictive disorder professionals and a mix of medical, mental health and peer professionals as appropriate to the structure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plan”</w:t>
      </w:r>
      <w:r>
        <w:rPr>
          <w:rFonts w:ascii="Times New Roman" w:hAnsi="Times New Roman"/>
          <w:b w:val="false"/>
          <w:i w:val="false"/>
          <w:color w:val="000000"/>
          <w:sz w:val="22"/>
        </w:rPr>
        <w:t> </w:t>
      </w:r>
      <w:r>
        <w:rPr>
          <w:rFonts w:ascii="Times New Roman" w:hAnsi="Times New Roman"/>
          <w:b w:val="false"/>
          <w:i w:val="false"/>
          <w:color w:val="000000"/>
          <w:sz w:val="22"/>
        </w:rPr>
        <w:t>means a plan that outlines for each patient attainable short-term treatment goals that are mutually acceptable to the patient and the opioid treatment program and that specifies the services to be provided and the frequency and schedule for their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planning”</w:t>
      </w:r>
      <w:r>
        <w:rPr>
          <w:rFonts w:ascii="Times New Roman" w:hAnsi="Times New Roman"/>
          <w:b w:val="false"/>
          <w:i w:val="false"/>
          <w:color w:val="000000"/>
          <w:sz w:val="22"/>
        </w:rPr>
        <w:t> </w:t>
      </w:r>
      <w:r>
        <w:rPr>
          <w:rFonts w:ascii="Times New Roman" w:hAnsi="Times New Roman"/>
          <w:b w:val="false"/>
          <w:i w:val="false"/>
          <w:color w:val="000000"/>
          <w:sz w:val="22"/>
        </w:rPr>
        <w:t>means the process, based on ongoing assessment, by which a patient and qualified staff identify and rank problems, establish agreed-upon goals, and decide on the treatment services and resources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“Withdrawal management”</w:t>
      </w:r>
      <w:r>
        <w:rPr>
          <w:rFonts w:ascii="Times New Roman" w:hAnsi="Times New Roman"/>
          <w:b w:val="false"/>
          <w:i w:val="false"/>
          <w:color w:val="000000"/>
          <w:sz w:val="22"/>
        </w:rPr>
        <w:t> </w:t>
      </w:r>
      <w:r>
        <w:rPr>
          <w:rFonts w:ascii="Times New Roman" w:hAnsi="Times New Roman"/>
          <w:b w:val="false"/>
          <w:i w:val="false"/>
          <w:color w:val="000000"/>
          <w:sz w:val="22"/>
        </w:rPr>
        <w:t>means the safe management of intoxication states and withdrawal states in accordance with the ASAM criteria and accepted standards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Licensing. </w:t>
      </w:r>
      <w:r>
        <w:rPr>
          <w:rFonts w:ascii="Times New Roman" w:hAnsi="Times New Roman"/>
          <w:b w:val="false"/>
          <w:i w:val="false"/>
          <w:color w:val="000000"/>
          <w:sz w:val="22"/>
        </w:rPr>
        <w:t xml:space="preserve">In accordance with Iowa Code section </w:t>
      </w:r>
      <w:hyperlink r:id="rId2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a person shall not maintain or conduct a substance use disorder program without having first obtained a license for the program from the department, and in accordance with Iowa Code section </w:t>
      </w:r>
      <w:hyperlink r:id="rId23">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 xml:space="preserve">, a person shall not maintain or conduct a problem gambling treatment program funded by the department unless the person has obtained a license for the program from the department. The provision of treatment to a patient through any electronic means, regardless of the location of the program or facility, shall constitute the practice of treatment in the state of Iowa and shall be subject to regulation in accordance with Iowa Code chapter </w:t>
      </w:r>
      <w:hyperlink r:id="rId2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Iowa Code section </w:t>
      </w:r>
      <w:hyperlink r:id="rId25">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 and these rules. An applicant shall apply for one license only. The department will award one license only to an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Program licenses. </w:t>
      </w:r>
      <w:r>
        <w:rPr>
          <w:rFonts w:ascii="Times New Roman" w:hAnsi="Times New Roman"/>
          <w:b w:val="false"/>
          <w:i w:val="false"/>
          <w:color w:val="000000"/>
          <w:sz w:val="22"/>
        </w:rPr>
        <w:t>The department will offer the following program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assessment and OWI evaluation-only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problem gambling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and problem gambling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Licensed program services. </w:t>
      </w:r>
      <w:r>
        <w:rPr>
          <w:rFonts w:ascii="Times New Roman" w:hAnsi="Times New Roman"/>
          <w:b w:val="false"/>
          <w:i w:val="false"/>
          <w:color w:val="000000"/>
          <w:sz w:val="22"/>
        </w:rPr>
        <w:t xml:space="preserve">The license will delineate the licensed program service(s) the program is authorized to provide and will specify that each licensed program service is licensed for adults, juveniles, or adults and juveniles. Licensed program services 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assessment and OWI evaluation only, provided by a substance use disorder assessment and OWI evaluation-only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Intensive outpatient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Partial/day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Clinically managed medium-intensity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Medically monitored intensive inpatient treatment,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Enhanced treatment services,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Opioid treatment services,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w:t>
      </w:r>
      <w:r>
        <w:rPr>
          <w:rFonts w:ascii="Times New Roman" w:hAnsi="Times New Roman"/>
          <w:b w:val="false"/>
          <w:i w:val="false"/>
          <w:color w:val="000000"/>
          <w:sz w:val="22"/>
        </w:rPr>
        <w:t> </w:t>
      </w:r>
      <w:r>
        <w:rPr>
          <w:rFonts w:ascii="Times New Roman" w:hAnsi="Times New Roman"/>
          <w:b w:val="false"/>
          <w:i/>
          <w:color w:val="000000"/>
          <w:sz w:val="22"/>
        </w:rPr>
        <w:t xml:space="preserve">Licensing body. </w:t>
      </w:r>
      <w:r>
        <w:rPr>
          <w:rFonts w:ascii="Times New Roman" w:hAnsi="Times New Roman"/>
          <w:b w:val="false"/>
          <w:i w:val="false"/>
          <w:color w:val="000000"/>
          <w:sz w:val="22"/>
        </w:rPr>
        <w:t>The department will consider and approve or deny all license applications, suspensions and revocations.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w:t>
      </w:r>
      <w:r>
        <w:rPr>
          <w:rFonts w:ascii="Times New Roman" w:hAnsi="Times New Roman"/>
          <w:b/>
          <w:i w:val="false"/>
          <w:color w:val="000000"/>
          <w:sz w:val="22"/>
        </w:rPr>
        <w:t xml:space="preserve">(125,135) </w:t>
      </w:r>
      <w:r>
        <w:rPr>
          <w:rFonts w:ascii="Times New Roman" w:hAnsi="Times New Roman"/>
          <w:b/>
          <w:i w:val="false"/>
          <w:color w:val="000000"/>
          <w:sz w:val="22"/>
        </w:rPr>
        <w:t xml:space="preserve">Types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155.3(1)</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initial license for 270 days to a new applicant scoring a minimum rating of 70 percent in each standards category on the licensure weighting report. An initial license shall expire in 270 days and shall not be extended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155.3(2)</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license subsequent to an initial license for one, two, or three years based on the applicant’s rating on the licensure weighting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95 percent or higher in each standards category may qualify for a three-year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less than 95 percent but not less than 90 percent in each standards category may qualify for a two-year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less than 90 percent but not less than 70 percent in each standards category may qualify for a one-year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 for one, two, or three years shall expire on the date noted on the license and shall not be extended but may be renewed upon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155.3(3)</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license under deemed status to an applicant providing required documentation of accreditation by a recognized accreditation body. A deemed-status license will be effective for the same time frame as that of the accreditation granted by the accreditation body, up to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641—155.4</w:t>
      </w:r>
      <w:r>
        <w:rPr>
          <w:rFonts w:ascii="Times New Roman" w:hAnsi="Times New Roman"/>
          <w:b/>
          <w:i w:val="false"/>
          <w:color w:val="000000"/>
          <w:sz w:val="22"/>
        </w:rPr>
        <w:t xml:space="preserve">(125,135) </w:t>
      </w:r>
      <w:r>
        <w:rPr>
          <w:rFonts w:ascii="Times New Roman" w:hAnsi="Times New Roman"/>
          <w:b/>
          <w:i w:val="false"/>
          <w:color w:val="000000"/>
          <w:sz w:val="22"/>
        </w:rPr>
        <w:t xml:space="preserve">Nonassignability.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A license issued by the department for the operation of a program applies both to the licensee and the facility in which the program is operated. A license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A closing program is one that intends to cease providing licensed program services. The licensee shall notify the department 30 days before ceasing service provision. The licensee shall be responsible for the transition of patients to another program and for the preservation of all records. The licensee shall include in its notice to the department its plan to transition patients and locate records. When a program closes, the program’s license is void on the date the program ceases providing licensed program services and the license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155.4(3)</w:t>
      </w:r>
      <w:r>
        <w:rPr>
          <w:rFonts w:ascii="Times New Roman" w:hAnsi="Times New Roman"/>
          <w:b w:val="false"/>
          <w:i w:val="false"/>
          <w:color w:val="000000"/>
          <w:sz w:val="22"/>
        </w:rPr>
        <w:t> </w:t>
      </w:r>
      <w:r>
        <w:rPr>
          <w:rFonts w:ascii="Times New Roman" w:hAnsi="Times New Roman"/>
          <w:b w:val="false"/>
          <w:i w:val="false"/>
          <w:color w:val="000000"/>
          <w:sz w:val="22"/>
        </w:rPr>
        <w:t>A closed program is one that has ceased providing licensed program services. The licensee shall notify the department immediately of ceased service provision. The licensee shall be responsible for the transition of patients to another program and for the preservation of all records. The licensee shall include in its notice to the department its plan to transition patients and locate records. When a program is closed, the program’s license is void on the date the program ceased providing licensed program services and the license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155.4(4)</w:t>
      </w:r>
      <w:r>
        <w:rPr>
          <w:rFonts w:ascii="Times New Roman" w:hAnsi="Times New Roman"/>
          <w:b w:val="false"/>
          <w:i w:val="false"/>
          <w:color w:val="000000"/>
          <w:sz w:val="22"/>
        </w:rPr>
        <w:t> </w:t>
      </w:r>
      <w:r>
        <w:rPr>
          <w:rFonts w:ascii="Times New Roman" w:hAnsi="Times New Roman"/>
          <w:b w:val="false"/>
          <w:i w:val="false"/>
          <w:color w:val="000000"/>
          <w:sz w:val="22"/>
        </w:rPr>
        <w:t>A person, facility or legal entity acquiring a licensed, closing or closed program for the purpose of operating a program shall apply for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641—155.5</w:t>
      </w:r>
      <w:r>
        <w:rPr>
          <w:rFonts w:ascii="Times New Roman" w:hAnsi="Times New Roman"/>
          <w:b/>
          <w:i w:val="false"/>
          <w:color w:val="000000"/>
          <w:sz w:val="22"/>
        </w:rPr>
        <w:t xml:space="preserve">(125,135)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department will provide license application forms on its website and at its office. An applicant shall submit application materials to the department. The department will proceed with inspection of the applicant upon receipt of a complete application. To be complete, an application must include all required materials and be responsive to all licensure standards,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155.5(1)</w:t>
      </w:r>
      <w:r>
        <w:rPr>
          <w:rFonts w:ascii="Times New Roman" w:hAnsi="Times New Roman"/>
          <w:b w:val="false"/>
          <w:i w:val="false"/>
          <w:color w:val="000000"/>
          <w:sz w:val="22"/>
        </w:rPr>
        <w:t> </w:t>
      </w:r>
      <w:r>
        <w:rPr>
          <w:rFonts w:ascii="Times New Roman" w:hAnsi="Times New Roman"/>
          <w:b w:val="false"/>
          <w:i/>
          <w:color w:val="000000"/>
          <w:sz w:val="22"/>
        </w:rPr>
        <w:t xml:space="preserve">Application information. </w:t>
      </w:r>
      <w:r>
        <w:rPr>
          <w:rFonts w:ascii="Times New Roman" w:hAnsi="Times New Roman"/>
          <w:b w:val="false"/>
          <w:i w:val="false"/>
          <w:color w:val="000000"/>
          <w:sz w:val="22"/>
        </w:rPr>
        <w:t>An applicant shall submit application materials on the forms provided and in the required format. Application materials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 and, if the applicant is part of a larger organization, the name and address of the larger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applicant’s executive director and, if the applicant is part of a larger organization, the name and address of the executive director of the larger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titles, dates of employment, education, and years of current job-related experience of the applicant’s staff and the table of organization. If the applicant is part of a larger organization or has multiple organizational components and physical facilities, the relationships between the larger organization, organizational components and physical facilities must be shown on the table of organization, with the applicant and applicant’s staff positions clearly delineated.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members of the applicant’s governing body, sponsors, and advisory boards and the current articles of incorporation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individuals, facilities, organizations, and legal entities with which the applicant has a contractual or affiliation agreement pertaining to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program services to be provided by the applicant and a calendar showing program services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each physical facility, copies of reports substantiating compliance with federal, state and local laws, rules and regulations, to include appropriate department of inspections, appeals, and licensing rules; state fire marshal rules and fire ordinances; and local health, fire, occupancy,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for programs admitting juveniles as described under Iowa Code section </w:t>
      </w:r>
      <w:hyperlink r:id="rId26">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Fiscal management information, to include a recent audit or opinion of auditor and program board minutes to reflect approval of the program’s budget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Insurance coverage related to professional and general liability; building, if the applicant has a physical location; and workers’ compensation and fidelity bond, if the applicant has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address of each physical facility,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written policies and procedures manual that covers all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155.5(2)</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An applicant seeking to be licensed subsequent to a 270-day initial license or a licensee seeking to renew a one-, two-, or three-year license or to significantly change a currently licensed program shall submit an application at least 90 days before expiration of the current license or before the program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155.5(3)</w:t>
      </w:r>
      <w:r>
        <w:rPr>
          <w:rFonts w:ascii="Times New Roman" w:hAnsi="Times New Roman"/>
          <w:b w:val="false"/>
          <w:i w:val="false"/>
          <w:color w:val="000000"/>
          <w:sz w:val="22"/>
        </w:rPr>
        <w:t> </w:t>
      </w:r>
      <w:r>
        <w:rPr>
          <w:rFonts w:ascii="Times New Roman" w:hAnsi="Times New Roman"/>
          <w:b w:val="false"/>
          <w:i/>
          <w:color w:val="000000"/>
          <w:sz w:val="22"/>
        </w:rPr>
        <w:t xml:space="preserve">License under deemed status. </w:t>
      </w:r>
      <w:r>
        <w:rPr>
          <w:rFonts w:ascii="Times New Roman" w:hAnsi="Times New Roman"/>
          <w:b w:val="false"/>
          <w:i w:val="false"/>
          <w:color w:val="000000"/>
          <w:sz w:val="22"/>
        </w:rPr>
        <w:t>An organization seeking to be licensed under deemed status shall submit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641—155.6</w:t>
      </w:r>
      <w:r>
        <w:rPr>
          <w:rFonts w:ascii="Times New Roman" w:hAnsi="Times New Roman"/>
          <w:b/>
          <w:i w:val="false"/>
          <w:color w:val="000000"/>
          <w:sz w:val="22"/>
        </w:rPr>
        <w:t xml:space="preserve">(125,135) </w:t>
      </w:r>
      <w:r>
        <w:rPr>
          <w:rFonts w:ascii="Times New Roman" w:hAnsi="Times New Roman"/>
          <w:b/>
          <w:i w:val="false"/>
          <w:color w:val="000000"/>
          <w:sz w:val="22"/>
        </w:rPr>
        <w:t xml:space="preserve">Technical assistance. </w:t>
      </w:r>
      <w:r>
        <w:rPr>
          <w:rFonts w:ascii="Times New Roman" w:hAnsi="Times New Roman"/>
          <w:b w:val="false"/>
          <w:i w:val="false"/>
          <w:color w:val="000000"/>
          <w:sz w:val="22"/>
        </w:rPr>
        <w:t>The department may provide technical assistance to an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w:t>
      </w:r>
      <w:r>
        <w:rPr>
          <w:rFonts w:ascii="Times New Roman" w:hAnsi="Times New Roman"/>
          <w:b w:val="false"/>
          <w:i w:val="false"/>
          <w:color w:val="000000"/>
          <w:sz w:val="22"/>
        </w:rPr>
        <w:t> </w:t>
      </w:r>
      <w:r>
        <w:rPr>
          <w:rFonts w:ascii="Times New Roman" w:hAnsi="Times New Roman"/>
          <w:b w:val="false"/>
          <w:i w:val="false"/>
          <w:color w:val="000000"/>
          <w:sz w:val="22"/>
        </w:rPr>
        <w:t>An applicant may request technical assistance regarding these rules and the licensure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155.6(2)</w:t>
      </w:r>
      <w:r>
        <w:rPr>
          <w:rFonts w:ascii="Times New Roman" w:hAnsi="Times New Roman"/>
          <w:b w:val="false"/>
          <w:i w:val="false"/>
          <w:color w:val="000000"/>
          <w:sz w:val="22"/>
        </w:rPr>
        <w:t> </w:t>
      </w:r>
      <w:r>
        <w:rPr>
          <w:rFonts w:ascii="Times New Roman" w:hAnsi="Times New Roman"/>
          <w:b w:val="false"/>
          <w:i w:val="false"/>
          <w:color w:val="000000"/>
          <w:sz w:val="22"/>
        </w:rPr>
        <w:t>A licensee may request technical assistance regarding these rules and the licensure process or to bring areas of noncompliance with these rules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licensee to receive technical assistance to bring areas of noncompliance with these rules into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641—155.7</w:t>
      </w:r>
      <w:r>
        <w:rPr>
          <w:rFonts w:ascii="Times New Roman" w:hAnsi="Times New Roman"/>
          <w:b/>
          <w:i w:val="false"/>
          <w:color w:val="000000"/>
          <w:sz w:val="22"/>
        </w:rPr>
        <w:t xml:space="preserve">(125,135) </w:t>
      </w:r>
      <w:r>
        <w:rPr>
          <w:rFonts w:ascii="Times New Roman" w:hAnsi="Times New Roman"/>
          <w:b/>
          <w:i w:val="false"/>
          <w:color w:val="000000"/>
          <w:sz w:val="22"/>
        </w:rPr>
        <w:t xml:space="preserve">Inspection of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155.7(1)</w:t>
      </w:r>
      <w:r>
        <w:rPr>
          <w:rFonts w:ascii="Times New Roman" w:hAnsi="Times New Roman"/>
          <w:b w:val="false"/>
          <w:i w:val="false"/>
          <w:color w:val="000000"/>
          <w:sz w:val="22"/>
        </w:rPr>
        <w:t> </w:t>
      </w:r>
      <w:r>
        <w:rPr>
          <w:rFonts w:ascii="Times New Roman" w:hAnsi="Times New Roman"/>
          <w:b w:val="false"/>
          <w:i/>
          <w:color w:val="000000"/>
          <w:sz w:val="22"/>
        </w:rPr>
        <w:t xml:space="preserve">Inspection of applicants. </w:t>
      </w:r>
      <w:r>
        <w:rPr>
          <w:rFonts w:ascii="Times New Roman" w:hAnsi="Times New Roman"/>
          <w:b w:val="false"/>
          <w:i w:val="false"/>
          <w:color w:val="000000"/>
          <w:sz w:val="22"/>
        </w:rPr>
        <w:t>The department will inspect each applicant. Inspection will include review of the complete application and may include but may not be limited to review of patient records, review of applicant data reporting, and interviews with staff and patients. Inspection will include on-site inspection unless specifically waived as allowed under these rules. The department will send the applicant a report of inspection findings within 30 business days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155.7(2)</w:t>
      </w:r>
      <w:r>
        <w:rPr>
          <w:rFonts w:ascii="Times New Roman" w:hAnsi="Times New Roman"/>
          <w:b w:val="false"/>
          <w:i w:val="false"/>
          <w:color w:val="000000"/>
          <w:sz w:val="22"/>
        </w:rPr>
        <w:t> </w:t>
      </w:r>
      <w:r>
        <w:rPr>
          <w:rFonts w:ascii="Times New Roman" w:hAnsi="Times New Roman"/>
          <w:b w:val="false"/>
          <w:i/>
          <w:color w:val="000000"/>
          <w:sz w:val="22"/>
        </w:rPr>
        <w:t xml:space="preserve">On-site inspection. </w:t>
      </w:r>
      <w:r>
        <w:rPr>
          <w:rFonts w:ascii="Times New Roman" w:hAnsi="Times New Roman"/>
          <w:b w:val="false"/>
          <w:i w:val="false"/>
          <w:color w:val="000000"/>
          <w:sz w:val="22"/>
        </w:rPr>
        <w:t>The department will schedule an on-site inspection of an applicant within 60 business days of receipt of the applicant’s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on-site inspection of an applicant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applying to renew a license when the applicant’s licensed program services are limited to substance use disorder assessment and OWI evaluation services only, outpatient treatment, or intensive outpatient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applying for a license under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is not required to provide advance notice of the on-site inspection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inspection team will consist of designated employees or agents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on-site inspection team will inspect the applicant to verify application information and determine compliance with all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641—155.8</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License—approval. </w:t>
      </w:r>
      <w:r>
        <w:rPr>
          <w:rFonts w:ascii="Times New Roman" w:hAnsi="Times New Roman"/>
          <w:b w:val="false"/>
          <w:i w:val="false"/>
          <w:color w:val="000000"/>
          <w:sz w:val="22"/>
        </w:rPr>
        <w:t>The department will issue a license upon approval of an application. The license will be effective upon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641—155.9</w:t>
      </w:r>
      <w:r>
        <w:rPr>
          <w:rFonts w:ascii="Times New Roman" w:hAnsi="Times New Roman"/>
          <w:b/>
          <w:i w:val="false"/>
          <w:color w:val="000000"/>
          <w:sz w:val="22"/>
        </w:rPr>
        <w:t xml:space="preserve">(125,135) </w:t>
      </w:r>
      <w:r>
        <w:rPr>
          <w:rFonts w:ascii="Times New Roman" w:hAnsi="Times New Roman"/>
          <w:b/>
          <w:i w:val="false"/>
          <w:color w:val="000000"/>
          <w:sz w:val="22"/>
        </w:rPr>
        <w:t xml:space="preserve">Written corrective action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155.9(1)</w:t>
      </w:r>
      <w:r>
        <w:rPr>
          <w:rFonts w:ascii="Times New Roman" w:hAnsi="Times New Roman"/>
          <w:b w:val="false"/>
          <w:i w:val="false"/>
          <w:color w:val="000000"/>
          <w:sz w:val="22"/>
        </w:rPr>
        <w:t> </w:t>
      </w:r>
      <w:r>
        <w:rPr>
          <w:rFonts w:ascii="Times New Roman" w:hAnsi="Times New Roman"/>
          <w:b w:val="false"/>
          <w:i w:val="false"/>
          <w:color w:val="000000"/>
          <w:sz w:val="22"/>
        </w:rPr>
        <w:t>A program approved for a license shall submit a written corrective action plan to the department within 30 days following approval to bring any area of noncompliance with these rules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155.9(2)</w:t>
      </w:r>
      <w:r>
        <w:rPr>
          <w:rFonts w:ascii="Times New Roman" w:hAnsi="Times New Roman"/>
          <w:b w:val="false"/>
          <w:i w:val="false"/>
          <w:color w:val="000000"/>
          <w:sz w:val="22"/>
        </w:rPr>
        <w:t> </w:t>
      </w:r>
      <w:r>
        <w:rPr>
          <w:rFonts w:ascii="Times New Roman" w:hAnsi="Times New Roman"/>
          <w:b w:val="false"/>
          <w:i w:val="false"/>
          <w:color w:val="000000"/>
          <w:sz w:val="22"/>
        </w:rPr>
        <w:t>The written corrective action plan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area of noncompliance specified in the inspection findings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corrective measures to be taken by the program for each area of noncompliance;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completion date for each corrective measure.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641—155.10</w:t>
      </w:r>
      <w:r>
        <w:rPr>
          <w:rFonts w:ascii="Times New Roman" w:hAnsi="Times New Roman"/>
          <w:b/>
          <w:i w:val="false"/>
          <w:color w:val="000000"/>
          <w:sz w:val="22"/>
        </w:rPr>
        <w:t xml:space="preserve">(125,135) </w:t>
      </w:r>
      <w:r>
        <w:rPr>
          <w:rFonts w:ascii="Times New Roman" w:hAnsi="Times New Roman"/>
          <w:b/>
          <w:i w:val="false"/>
          <w:color w:val="000000"/>
          <w:sz w:val="22"/>
        </w:rPr>
        <w:t xml:space="preserve">Grounds for denial of license. </w:t>
      </w:r>
      <w:r>
        <w:rPr>
          <w:rFonts w:ascii="Times New Roman" w:hAnsi="Times New Roman"/>
          <w:b w:val="false"/>
          <w:i w:val="false"/>
          <w:color w:val="000000"/>
          <w:sz w:val="22"/>
        </w:rPr>
        <w:t>The department may deny an application for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155.10(1)</w:t>
      </w:r>
      <w:r>
        <w:rPr>
          <w:rFonts w:ascii="Times New Roman" w:hAnsi="Times New Roman"/>
          <w:b w:val="false"/>
          <w:i w:val="false"/>
          <w:color w:val="000000"/>
          <w:sz w:val="22"/>
        </w:rPr>
        <w:t> </w:t>
      </w:r>
      <w:r>
        <w:rPr>
          <w:rFonts w:ascii="Times New Roman" w:hAnsi="Times New Roman"/>
          <w:b w:val="false"/>
          <w:i w:val="false"/>
          <w:color w:val="000000"/>
          <w:sz w:val="22"/>
        </w:rPr>
        <w:t>The application is not complete, is not timely or otherwise does not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155.10(2)</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achieve the minimum licensure weighting report rating required for a 270-day initial license or a one-, two- or three-year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155.10(3)</w:t>
      </w:r>
      <w:r>
        <w:rPr>
          <w:rFonts w:ascii="Times New Roman" w:hAnsi="Times New Roman"/>
          <w:b w:val="false"/>
          <w:i w:val="false"/>
          <w:color w:val="000000"/>
          <w:sz w:val="22"/>
        </w:rPr>
        <w:t> </w:t>
      </w:r>
      <w:r>
        <w:rPr>
          <w:rFonts w:ascii="Times New Roman" w:hAnsi="Times New Roman"/>
          <w:b w:val="false"/>
          <w:i w:val="false"/>
          <w:color w:val="000000"/>
          <w:sz w:val="22"/>
        </w:rPr>
        <w:t>Lack of patients or patient records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155.10(4)</w:t>
      </w:r>
      <w:r>
        <w:rPr>
          <w:rFonts w:ascii="Times New Roman" w:hAnsi="Times New Roman"/>
          <w:b w:val="false"/>
          <w:i w:val="false"/>
          <w:color w:val="000000"/>
          <w:sz w:val="22"/>
        </w:rPr>
        <w:t> </w:t>
      </w:r>
      <w:r>
        <w:rPr>
          <w:rFonts w:ascii="Times New Roman" w:hAnsi="Times New Roman"/>
          <w:b w:val="false"/>
          <w:i w:val="false"/>
          <w:color w:val="000000"/>
          <w:sz w:val="22"/>
        </w:rPr>
        <w:t>Violation of any of the following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 of fraudulent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by a program or staff of any statute or rule pertaining to programs, including violation of any provision of these rules, or failure to adhere to program policies and procedures adopted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licensure, inspection, health, fire, occupancy, safety, sanitation, zoning, or building codes or regulations required by federal, state or local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Sanction, modification, termination, withdrawal, refused renewal, suspension, or revocation of accreditation by an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Sanction, modification, termination, withdrawal, refused renewal, suspension, revocation, or refused issuance of a federal registration to distribute or dispense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Commission of or permitting, aiding or abetting commission of an unlawful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Conviction of a member of the governing body, a director, administrator, chief executive officer, or other managing staff person of a felony or misdemeanor related to the management, operation or integrity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or practices determined to be detrimental to the general health, safety, or welfare of a patient, potential patient, concerned person, visitor, staff or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Violation of a patient’s confidentiality or willful, substantial, or repeated violation of a patient’s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Defrauding a patient, potential patient, concerned person, visitor, staff or third-party payor.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Inappropriate conduct by staff, including sexual or other harassment or exploitation of a patient, potential patient, concerned person, visitor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Utilization of treatment techniques that endanger the health, safety, or welfare of a patient, potential patient, concerned person, visitor, staff or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Discrimination or retaliation against a patient, potential patient, concerned person, visitor, staff, or member of the public who has submitted a complaint or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Failure to allow an employee or agent of the department access to the program or facility for the purpose of inspection, investigation, or other activity necessary to the performance of the department’s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submit an acceptable written corrective action plan or failure to comply with a corrective action plan issued pursuant to rule </w:t>
      </w:r>
      <w:hyperlink r:id="rId27">
        <w:r>
          <w:rPr>
            <w:rStyle w:val="Hyperlink"/>
            <w:rFonts w:ascii="Times New Roman" w:hAnsi="Times New Roman"/>
            <w:b w:val="false"/>
            <w:i w:val="false"/>
            <w:color w:val="000000"/>
            <w:sz w:val="22"/>
          </w:rPr>
          <w:t>641—155.9</w:t>
        </w:r>
      </w:hyperlink>
      <w:r>
        <w:rPr>
          <w:rFonts w:ascii="Times New Roman" w:hAnsi="Times New Roman"/>
          <w:b w:val="false"/>
          <w:i w:val="false"/>
          <w:color w:val="000000"/>
          <w:sz w:val="22"/>
        </w:rPr>
        <w:t xml:space="preserve">(125,135) or </w:t>
      </w:r>
      <w:hyperlink r:id="rId28">
        <w:r>
          <w:rPr>
            <w:rStyle w:val="Hyperlink"/>
            <w:rFonts w:ascii="Times New Roman" w:hAnsi="Times New Roman"/>
            <w:b w:val="false"/>
            <w:i w:val="false"/>
            <w:color w:val="000000"/>
            <w:sz w:val="22"/>
          </w:rPr>
          <w:t>641—155.16</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Violation of an order of the department or violating the terms or conditions of a consent agreement or informal settlement between a program and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641—155.11</w:t>
      </w:r>
      <w:r>
        <w:rPr>
          <w:rFonts w:ascii="Times New Roman" w:hAnsi="Times New Roman"/>
          <w:b/>
          <w:i w:val="false"/>
          <w:color w:val="000000"/>
          <w:sz w:val="22"/>
        </w:rPr>
        <w:t xml:space="preserve">(125,135) </w:t>
      </w:r>
      <w:r>
        <w:rPr>
          <w:rFonts w:ascii="Times New Roman" w:hAnsi="Times New Roman"/>
          <w:b/>
          <w:i w:val="false"/>
          <w:color w:val="000000"/>
          <w:sz w:val="22"/>
        </w:rPr>
        <w:t xml:space="preserve">Denial, suspension or revocation of a license. </w:t>
      </w:r>
      <w:r>
        <w:rPr>
          <w:rFonts w:ascii="Times New Roman" w:hAnsi="Times New Roman"/>
          <w:b w:val="false"/>
          <w:i w:val="false"/>
          <w:color w:val="000000"/>
          <w:sz w:val="22"/>
        </w:rPr>
        <w:t xml:space="preserve">The department may deny an application for a license. The department may suspend or revoke a license for any of the grounds for discipline pursuant to subrule </w:t>
      </w:r>
      <w:hyperlink r:id="rId29">
        <w:r>
          <w:rPr>
            <w:rStyle w:val="Hyperlink"/>
            <w:rFonts w:ascii="Times New Roman" w:hAnsi="Times New Roman"/>
            <w:b w:val="false"/>
            <w:i w:val="false"/>
            <w:color w:val="000000"/>
            <w:sz w:val="22"/>
          </w:rPr>
          <w:t>155.10(4)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155.11(1)</w:t>
      </w:r>
      <w:r>
        <w:rPr>
          <w:rFonts w:ascii="Times New Roman" w:hAnsi="Times New Roman"/>
          <w:b w:val="false"/>
          <w:i w:val="false"/>
          <w:color w:val="000000"/>
          <w:sz w:val="22"/>
        </w:rPr>
        <w:t> </w:t>
      </w:r>
      <w:r>
        <w:rPr>
          <w:rFonts w:ascii="Times New Roman" w:hAnsi="Times New Roman"/>
          <w:b w:val="false"/>
          <w:i/>
          <w:color w:val="000000"/>
          <w:sz w:val="22"/>
        </w:rPr>
        <w:t xml:space="preserve">Initial notice from the department. </w:t>
      </w:r>
      <w:r>
        <w:rPr>
          <w:rFonts w:ascii="Times New Roman" w:hAnsi="Times New Roman"/>
          <w:b w:val="false"/>
          <w:i w:val="false"/>
          <w:color w:val="000000"/>
          <w:sz w:val="22"/>
        </w:rPr>
        <w:t xml:space="preserve">When the department determines to deny, suspend or revoke a one-, two-, or three-year license or a license under deemed status, the department will notify the applicant or licensee by certified mail, return receipt requested, in accordance with </w:t>
      </w:r>
      <w:hyperlink r:id="rId3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Such notice will provide the applicant or licensee the opportunity to submit a written corrective action plan or written objections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corrective action plan or objections. </w:t>
      </w:r>
      <w:r>
        <w:rPr>
          <w:rFonts w:ascii="Times New Roman" w:hAnsi="Times New Roman"/>
          <w:b w:val="false"/>
          <w:i w:val="false"/>
          <w:color w:val="000000"/>
          <w:sz w:val="22"/>
        </w:rPr>
        <w:t>An applicant notified of denial of a one-, two-, or three-year license or a license under deemed status or a licensee notified of suspension or revocation of a license may submit a written corrective action plan or written objections to the department within 20 days after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corrective action plan. </w:t>
      </w:r>
      <w:r>
        <w:rPr>
          <w:rFonts w:ascii="Times New Roman" w:hAnsi="Times New Roman"/>
          <w:b w:val="false"/>
          <w:i w:val="false"/>
          <w:color w:val="000000"/>
          <w:sz w:val="22"/>
        </w:rPr>
        <w:t xml:space="preserve">The written corrective action plan must meet the requirements of paragraphs </w:t>
      </w:r>
      <w:hyperlink r:id="rId31">
        <w:r>
          <w:rPr>
            <w:rStyle w:val="Hyperlink"/>
            <w:rFonts w:ascii="Times New Roman" w:hAnsi="Times New Roman"/>
            <w:b w:val="false"/>
            <w:i w:val="false"/>
            <w:color w:val="000000"/>
            <w:sz w:val="22"/>
          </w:rPr>
          <w:t>155.9(1)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If the applicant or licensee submits a written corrective action plan, the applicant or licensee shall have 90 days from the date of submission within which to show compliance with the plan. The applicant or licensee shall submit any information to the department that the department requests or that the applicant or licensee deems pertinent to show compliance with the plan. The department may inspect the licensee, including on-site inspection, to review the implemented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If the applicant or licensee submits written objections, the applicant or licensee shall submit to the department any information that the department or the applicant or licensee deems pertinent to support the applicant’s or licensee’s defense.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155.11(3)</w:t>
      </w:r>
      <w:r>
        <w:rPr>
          <w:rFonts w:ascii="Times New Roman" w:hAnsi="Times New Roman"/>
          <w:b w:val="false"/>
          <w:i w:val="false"/>
          <w:color w:val="000000"/>
          <w:sz w:val="22"/>
        </w:rPr>
        <w:t> </w:t>
      </w:r>
      <w:r>
        <w:rPr>
          <w:rFonts w:ascii="Times New Roman" w:hAnsi="Times New Roman"/>
          <w:b w:val="false"/>
          <w:i/>
          <w:color w:val="000000"/>
          <w:sz w:val="22"/>
        </w:rPr>
        <w:t xml:space="preserve">Decision of department. </w:t>
      </w:r>
      <w:r>
        <w:rPr>
          <w:rFonts w:ascii="Times New Roman" w:hAnsi="Times New Roman"/>
          <w:b w:val="false"/>
          <w:i w:val="false"/>
          <w:color w:val="000000"/>
          <w:sz w:val="22"/>
        </w:rPr>
        <w:t>Following receipt of a written corrective action plan and expiration of the 90-day compliance period, or following receipt of written objections, or when a written corrective action plan or written objections have not been received within the 20-day time period, the department will determine whether to proceed with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155.11(4)</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and opportunity for 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determines to deny, suspend, or revoke a license, the applicant or licensee shall be given written notice by restricted certified mail pursuant to </w:t>
      </w:r>
      <w:hyperlink r:id="rId3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may request a hearing on the determination. The request must be in writing and sent to the department’s address within 30 days of the notice issued by the department. Failure to request a hearing will result in final action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155.11(5)</w:t>
      </w:r>
      <w:r>
        <w:rPr>
          <w:rFonts w:ascii="Times New Roman" w:hAnsi="Times New Roman"/>
          <w:b w:val="false"/>
          <w:i w:val="false"/>
          <w:color w:val="000000"/>
          <w:sz w:val="22"/>
        </w:rPr>
        <w:t> </w:t>
      </w:r>
      <w:r>
        <w:rPr>
          <w:rFonts w:ascii="Times New Roman" w:hAnsi="Times New Roman"/>
          <w:b w:val="false"/>
          <w:i/>
          <w:color w:val="000000"/>
          <w:sz w:val="22"/>
        </w:rPr>
        <w:t xml:space="preserve">Summary suspension. </w:t>
      </w:r>
      <w:r>
        <w:rPr>
          <w:rFonts w:ascii="Times New Roman" w:hAnsi="Times New Roman"/>
          <w:b w:val="false"/>
          <w:i w:val="false"/>
          <w:color w:val="000000"/>
          <w:sz w:val="22"/>
        </w:rPr>
        <w:t xml:space="preserve">If the department finds that the health, safety or welfare of the public is endangered by continued operation of a program, the department may order summary suspension of a license, pursuant to Iowa Code sections </w:t>
      </w:r>
      <w:hyperlink r:id="rId3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xml:space="preserve">, pending proceedings for revocation or other actions in accordance with Iowa Code sections </w:t>
      </w:r>
      <w:hyperlink r:id="rId3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These proceedings shall be promptly instituted and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641—155.12</w:t>
      </w:r>
      <w:r>
        <w:rPr>
          <w:rFonts w:ascii="Times New Roman" w:hAnsi="Times New Roman"/>
          <w:b w:val="false"/>
          <w:i w:val="false"/>
          <w:color w:val="000000"/>
          <w:sz w:val="22"/>
        </w:rPr>
        <w:t xml:space="preserve"> to </w:t>
      </w:r>
      <w:r>
        <w:rPr>
          <w:rFonts w:ascii="Times New Roman" w:hAnsi="Times New Roman"/>
          <w:b/>
          <w:i w:val="false"/>
          <w:color w:val="000000"/>
          <w:sz w:val="22"/>
        </w:rPr>
        <w:t>155.14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641—155.15</w:t>
      </w:r>
      <w:r>
        <w:rPr>
          <w:rFonts w:ascii="Times New Roman" w:hAnsi="Times New Roman"/>
          <w:b/>
          <w:i w:val="false"/>
          <w:color w:val="000000"/>
          <w:sz w:val="22"/>
        </w:rPr>
        <w:t xml:space="preserve">(125,135) </w:t>
      </w:r>
      <w:r>
        <w:rPr>
          <w:rFonts w:ascii="Times New Roman" w:hAnsi="Times New Roman"/>
          <w:b/>
          <w:i w:val="false"/>
          <w:color w:val="000000"/>
          <w:sz w:val="22"/>
        </w:rPr>
        <w:t xml:space="preserve">Issuance of a license after denial, suspension or revocation. </w:t>
      </w:r>
      <w:r>
        <w:rPr>
          <w:rFonts w:ascii="Times New Roman" w:hAnsi="Times New Roman"/>
          <w:b w:val="false"/>
          <w:i w:val="false"/>
          <w:color w:val="000000"/>
          <w:sz w:val="22"/>
        </w:rPr>
        <w:t>After denial, suspension, or revocation of a license, the former applicant or licensee shall not have a license issued within one year of the effective date of the denial, suspension or revocation. After one year, the former applicant or licensee may submit an application for a 270-day initial license. For purposes of this rule, “former applicant or licensee” includes any director, officer, administrator, chief executive officer, or other managing staff of the former applicant or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641—155.16</w:t>
      </w:r>
      <w:r>
        <w:rPr>
          <w:rFonts w:ascii="Times New Roman" w:hAnsi="Times New Roman"/>
          <w:b/>
          <w:i w:val="false"/>
          <w:color w:val="000000"/>
          <w:sz w:val="22"/>
        </w:rPr>
        <w:t xml:space="preserve">(125,135)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department against any program licensed pursuant to this chapter. The complaint shall be made in writing and shall be emailed, mailed or delivered to the department. The complaint shall include the name and address of the complainant, the name of the program, and a concise statement of the allegations against the program, including the specific alleged violations of Iowa Code chapter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this chapter, if known. A complaint may also be initiated by the department when an emergency exists that is deemed to endanger the health, safety or welfare of a patient, potential patient, concerned person, visitor, staff or the public, pursuant to evidence received by the department. Timely filing of complaints is required to ensure the availability of witnesses and to avoid initiation of an investigation under conditions that may have been significantly altered during the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155.16(2)</w:t>
      </w:r>
      <w:r>
        <w:rPr>
          <w:rFonts w:ascii="Times New Roman" w:hAnsi="Times New Roman"/>
          <w:b w:val="false"/>
          <w:i w:val="false"/>
          <w:color w:val="000000"/>
          <w:sz w:val="22"/>
        </w:rPr>
        <w:t> </w:t>
      </w:r>
      <w:r>
        <w:rPr>
          <w:rFonts w:ascii="Times New Roman" w:hAnsi="Times New Roman"/>
          <w:b w:val="false"/>
          <w:i/>
          <w:color w:val="000000"/>
          <w:sz w:val="22"/>
        </w:rPr>
        <w:t xml:space="preserve">Evaluation and investigation. </w:t>
      </w:r>
      <w:r>
        <w:rPr>
          <w:rFonts w:ascii="Times New Roman" w:hAnsi="Times New Roman"/>
          <w:b w:val="false"/>
          <w:i w:val="false"/>
          <w:color w:val="000000"/>
          <w:sz w:val="22"/>
        </w:rPr>
        <w:t>Upon receipt of a complaint, the department will make a preliminary review of the allegations contained in the complaint. The department may request that the complainant submit the complaint to the program’s grievance process. Unless the department concludes that the complaint is intended solely to harass a program or lacks a reasonable basis, or is more reasonably addressed through the program’s grievance process, the department will conduct an investigation of the program that is the subject of the complaint as soon as is practicable. The program that is the subject of the complaint will be given an opportunity to informally respond to the allegations contained in the complaint either in writing or through a personal interview or conference with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155.16(3)</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Within 30 days after completion of the investigation, the department will prepare a written investigative report and submit it to the executive director of the program and the chairperson of the governing body of the program. This report will include the nature of the complaint and shall indicate if the complaint allegations were substantiated, unsubstantiated, or undetermined; the basis for the finding; the specific statutes or rules at issue; a response from the program, if received; and a recommendation for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155.16(4)</w:t>
      </w:r>
      <w:r>
        <w:rPr>
          <w:rFonts w:ascii="Times New Roman" w:hAnsi="Times New Roman"/>
          <w:b w:val="false"/>
          <w:i w:val="false"/>
          <w:color w:val="000000"/>
          <w:sz w:val="22"/>
        </w:rPr>
        <w:t> </w:t>
      </w:r>
      <w:r>
        <w:rPr>
          <w:rFonts w:ascii="Times New Roman" w:hAnsi="Times New Roman"/>
          <w:b w:val="false"/>
          <w:i/>
          <w:color w:val="000000"/>
          <w:sz w:val="22"/>
        </w:rPr>
        <w:t xml:space="preserve">Review of investigations. </w:t>
      </w:r>
      <w:r>
        <w:rPr>
          <w:rFonts w:ascii="Times New Roman" w:hAnsi="Times New Roman"/>
          <w:b w:val="false"/>
          <w:i w:val="false"/>
          <w:color w:val="000000"/>
          <w:sz w:val="22"/>
        </w:rPr>
        <w:t>The department will review the investigative report and determine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Closure. </w:t>
      </w:r>
      <w:r>
        <w:rPr>
          <w:rFonts w:ascii="Times New Roman" w:hAnsi="Times New Roman"/>
          <w:b w:val="false"/>
          <w:i w:val="false"/>
          <w:color w:val="000000"/>
          <w:sz w:val="22"/>
        </w:rPr>
        <w:t>If the department determines that the allegations contained in the complaint are unsubstantiated, the department will close the case and promptly notify the complainant and the program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Further investigation. </w:t>
      </w:r>
      <w:r>
        <w:rPr>
          <w:rFonts w:ascii="Times New Roman" w:hAnsi="Times New Roman"/>
          <w:b w:val="false"/>
          <w:i w:val="false"/>
          <w:color w:val="000000"/>
          <w:sz w:val="22"/>
        </w:rPr>
        <w:t>The department may determine that the complaint warrants further investigation and may conduct an additional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corrective action plan. </w:t>
      </w:r>
      <w:r>
        <w:rPr>
          <w:rFonts w:ascii="Times New Roman" w:hAnsi="Times New Roman"/>
          <w:b w:val="false"/>
          <w:i w:val="false"/>
          <w:color w:val="000000"/>
          <w:sz w:val="22"/>
        </w:rPr>
        <w:t>If the department determines that the allegations contained in the complaint are substantiated and corrective action is warranted, the department may require the program to submit and comply with a written corrective action plan. A program shall submit a written corrective action plan to the department within 20 business days after receiving a request for such plan. The written corrective action plan shall include a plan for correcting areas of noncompliance as required by the department and a time frame within which such plan shall be implemented. The plan is subject to department approval. Requiring a written corrective action plan is not formal disciplinary action. Failure to submit or comply with a written corrective action plan may result in formal disciplinary action against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 </w:t>
      </w:r>
      <w:r>
        <w:rPr>
          <w:rFonts w:ascii="Times New Roman" w:hAnsi="Times New Roman"/>
          <w:b w:val="false"/>
          <w:i w:val="false"/>
          <w:color w:val="000000"/>
          <w:sz w:val="22"/>
        </w:rPr>
        <w:t xml:space="preserve">If the department determines the allegations contained in the complaint are substantiated and disciplinary action is warranted, the department may proceed with such action in accordance with rule </w:t>
      </w:r>
      <w:hyperlink r:id="rId39">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155.16(5)</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and public information. </w:t>
      </w:r>
      <w:r>
        <w:rPr>
          <w:rFonts w:ascii="Times New Roman" w:hAnsi="Times New Roman"/>
          <w:b w:val="false"/>
          <w:i w:val="false"/>
          <w:color w:val="000000"/>
          <w:sz w:val="22"/>
        </w:rPr>
        <w:t xml:space="preserve">Information contained in a complaint may be confidential pursuant to Iowa Code section </w:t>
      </w:r>
      <w:hyperlink r:id="rId4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w:t>
      </w:r>
      <w:hyperlink r:id="rId42">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or any other provision of state or federal law. Investigative reports, written corrective action plans, and all notices and orders issued pursuant to rule </w:t>
      </w:r>
      <w:hyperlink r:id="rId43">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 xml:space="preserve">(125,135) shall refer to patients by number and shall not include patient identifying information. Investigative reports, written corrective action plans, and all notices and orders issued pursuant to rule </w:t>
      </w:r>
      <w:hyperlink r:id="rId44">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 xml:space="preserve">(125,135) shall be available to the public as open records pursuant to Iowa Code chapter </w:t>
      </w:r>
      <w:hyperlink r:id="rId4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641—155.17</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License revision. </w:t>
      </w:r>
      <w:r>
        <w:rPr>
          <w:rFonts w:ascii="Times New Roman" w:hAnsi="Times New Roman"/>
          <w:b w:val="false"/>
          <w:i w:val="false"/>
          <w:color w:val="000000"/>
          <w:sz w:val="22"/>
        </w:rPr>
        <w:t>A licensee shall submit a written request to the department to revise a license at least 30 days prior to any change of address, executive director, clinical oversight staff, facility, or licensed program service. The department will determine if the requested revision can be approved or if the change is significant enough to require the submission of an application for license renewal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641—155.18</w:t>
      </w:r>
      <w:r>
        <w:rPr>
          <w:rFonts w:ascii="Times New Roman" w:hAnsi="Times New Roman"/>
          <w:b/>
          <w:i w:val="false"/>
          <w:color w:val="000000"/>
          <w:sz w:val="22"/>
        </w:rPr>
        <w:t xml:space="preserve">(125,135) </w:t>
      </w:r>
      <w:r>
        <w:rPr>
          <w:rFonts w:ascii="Times New Roman" w:hAnsi="Times New Roman"/>
          <w:b/>
          <w:i w:val="false"/>
          <w:color w:val="000000"/>
          <w:sz w:val="22"/>
        </w:rPr>
        <w:t xml:space="preserve">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155.18(1)</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The department will approve a license under deemed status for an applicant accredited by a recognized national accreditation body when it determines that the accreditation is for the same licensed program services as those addressed by these rules and when such accreditation is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license under deemed status shall submit a copy of the entire accreditation body survey or inspection report, certificate of accreditation, accreditation conditions, and corrective action requirements and plans with the applicant’s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and accept an accreditation body’s survey or inspection report, certificate of accreditation, and conditions or corrective action plans as meeting the requirements for inspection for those licensed program services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license under deemed status shall be licensed only for licensed program services that are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shall be licensed for the same period of time as that for which the program is accredited,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155.18(2)</w:t>
      </w:r>
      <w:r>
        <w:rPr>
          <w:rFonts w:ascii="Times New Roman" w:hAnsi="Times New Roman"/>
          <w:b w:val="false"/>
          <w:i w:val="false"/>
          <w:color w:val="000000"/>
          <w:sz w:val="22"/>
        </w:rPr>
        <w:t> </w:t>
      </w:r>
      <w:r>
        <w:rPr>
          <w:rFonts w:ascii="Times New Roman" w:hAnsi="Times New Roman"/>
          <w:b w:val="false"/>
          <w:i/>
          <w:color w:val="000000"/>
          <w:sz w:val="22"/>
        </w:rPr>
        <w:t xml:space="preserve">National accreditation bodies. </w:t>
      </w:r>
      <w:r>
        <w:rPr>
          <w:rFonts w:ascii="Times New Roman" w:hAnsi="Times New Roman"/>
          <w:b w:val="false"/>
          <w:i w:val="false"/>
          <w:color w:val="000000"/>
          <w:sz w:val="22"/>
        </w:rPr>
        <w:t>The national accreditation bodies recognized for the purposes of licensure under deemed status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American Osteopathic Association (AOA).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155.18(3)</w:t>
      </w:r>
      <w:r>
        <w:rPr>
          <w:rFonts w:ascii="Times New Roman" w:hAnsi="Times New Roman"/>
          <w:b w:val="false"/>
          <w:i w:val="false"/>
          <w:color w:val="000000"/>
          <w:sz w:val="22"/>
        </w:rPr>
        <w:t> </w:t>
      </w:r>
      <w:r>
        <w:rPr>
          <w:rFonts w:ascii="Times New Roman" w:hAnsi="Times New Roman"/>
          <w:b w:val="false"/>
          <w:i/>
          <w:color w:val="000000"/>
          <w:sz w:val="22"/>
        </w:rPr>
        <w:t xml:space="preserve">Credentials and expectations of accreditation bodies. </w:t>
      </w:r>
      <w:r>
        <w:rPr>
          <w:rFonts w:ascii="Times New Roman" w:hAnsi="Times New Roman"/>
          <w:b w:val="false"/>
          <w:i w:val="false"/>
          <w:color w:val="000000"/>
          <w:sz w:val="22"/>
        </w:rPr>
        <w:t>The accreditation credentials of an accreditation body shall specify the types of organizations, programs and services the body accredits.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155.18(4)</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programs licensed under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shall meet all requirements of these rules and all 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may submit an application for licensure of licensed program services covered by these rules that are not covered by the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155.18(5)</w:t>
      </w:r>
      <w:r>
        <w:rPr>
          <w:rFonts w:ascii="Times New Roman" w:hAnsi="Times New Roman"/>
          <w:b w:val="false"/>
          <w:i w:val="false"/>
          <w:color w:val="000000"/>
          <w:sz w:val="22"/>
        </w:rPr>
        <w:t> </w:t>
      </w:r>
      <w:r>
        <w:rPr>
          <w:rFonts w:ascii="Times New Roman" w:hAnsi="Times New Roman"/>
          <w:b w:val="false"/>
          <w:i/>
          <w:color w:val="000000"/>
          <w:sz w:val="22"/>
        </w:rPr>
        <w:t xml:space="preserve">Rights and responsibilities of department. </w:t>
      </w:r>
      <w:r>
        <w:rPr>
          <w:rFonts w:ascii="Times New Roman" w:hAnsi="Times New Roman"/>
          <w:b w:val="false"/>
          <w:i w:val="false"/>
          <w:color w:val="000000"/>
          <w:sz w:val="22"/>
        </w:rPr>
        <w:t>The department retains the following responsibilities and rights for deemed status applicants and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complaints in accordance with these rules and recommend and require corrective action or other sanctions. Complaints, findings, and required corrective action may be reported to the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and act upon a license under deemed status when complaints have been founded, when the national accreditation body identifies noncompliance with accreditation, when accreditation expires without renewal, or when accreditation is sanctioned, modified, terminated, withdrawn,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641—155.19</w:t>
      </w:r>
      <w:r>
        <w:rPr>
          <w:rFonts w:ascii="Times New Roman" w:hAnsi="Times New Roman"/>
          <w:b/>
          <w:i w:val="false"/>
          <w:color w:val="000000"/>
          <w:sz w:val="22"/>
        </w:rPr>
        <w:t xml:space="preserve">(125,135) </w:t>
      </w:r>
      <w:r>
        <w:rPr>
          <w:rFonts w:ascii="Times New Roman" w:hAnsi="Times New Roman"/>
          <w:b/>
          <w:i w:val="false"/>
          <w:color w:val="000000"/>
          <w:sz w:val="22"/>
        </w:rPr>
        <w:t xml:space="preserve">Funding. </w:t>
      </w:r>
      <w:r>
        <w:rPr>
          <w:rFonts w:ascii="Times New Roman" w:hAnsi="Times New Roman"/>
          <w:b w:val="false"/>
          <w:i w:val="false"/>
          <w:color w:val="000000"/>
          <w:sz w:val="22"/>
        </w:rPr>
        <w:t>The issuance of a license shall not be construed as a commitment on the part of either the state or federal government to provide funds to such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641—155.20</w:t>
      </w:r>
      <w:r>
        <w:rPr>
          <w:rFonts w:ascii="Times New Roman" w:hAnsi="Times New Roman"/>
          <w:b/>
          <w:i w:val="false"/>
          <w:color w:val="000000"/>
          <w:sz w:val="22"/>
        </w:rPr>
        <w:t xml:space="preserve">(125,135) </w:t>
      </w:r>
      <w:r>
        <w:rPr>
          <w:rFonts w:ascii="Times New Roman" w:hAnsi="Times New Roman"/>
          <w:b/>
          <w:i w:val="false"/>
          <w:color w:val="000000"/>
          <w:sz w:val="22"/>
        </w:rPr>
        <w:t xml:space="preserve">Inspection. </w:t>
      </w:r>
      <w:r>
        <w:rPr>
          <w:rFonts w:ascii="Times New Roman" w:hAnsi="Times New Roman"/>
          <w:b w:val="false"/>
          <w:i w:val="false"/>
          <w:color w:val="000000"/>
          <w:sz w:val="22"/>
        </w:rPr>
        <w:t>An applicant or licensee agrees as a condition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155.20(1)</w:t>
      </w:r>
      <w:r>
        <w:rPr>
          <w:rFonts w:ascii="Times New Roman" w:hAnsi="Times New Roman"/>
          <w:b w:val="false"/>
          <w:i w:val="false"/>
          <w:color w:val="000000"/>
          <w:sz w:val="22"/>
        </w:rPr>
        <w:t> </w:t>
      </w:r>
      <w:r>
        <w:rPr>
          <w:rFonts w:ascii="Times New Roman" w:hAnsi="Times New Roman"/>
          <w:b w:val="false"/>
          <w:i w:val="false"/>
          <w:color w:val="000000"/>
          <w:sz w:val="22"/>
        </w:rPr>
        <w:t>To permit properly designated representatives of the department to enter into and inspect any and all programs and facilities for which a license has been applied or issued to verify information contained in the application or to ensure compliance with all laws, rules, and regulations relating thereto, during all hours of operation of said applicant or licensee and at any other reasonable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155.20(2)</w:t>
      </w:r>
      <w:r>
        <w:rPr>
          <w:rFonts w:ascii="Times New Roman" w:hAnsi="Times New Roman"/>
          <w:b w:val="false"/>
          <w:i w:val="false"/>
          <w:color w:val="000000"/>
          <w:sz w:val="22"/>
        </w:rPr>
        <w:t> </w:t>
      </w:r>
      <w:r>
        <w:rPr>
          <w:rFonts w:ascii="Times New Roman" w:hAnsi="Times New Roman"/>
          <w:b w:val="false"/>
          <w:i w:val="false"/>
          <w:color w:val="000000"/>
          <w:sz w:val="22"/>
        </w:rPr>
        <w:t>To permit properly designated representatives of the department to audit and collect statistical data from all records maintained by the applicant or licensee. An applicant or licensee that does not permit inspection by the department or examination of all records, including financial records, records pertaining to methods of administration, general and special dietary programs, and the disbursement of medications and methods of supply, and any other records the department deems relevant, will not be licensed.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641—155.21</w:t>
      </w:r>
      <w:r>
        <w:rPr>
          <w:rFonts w:ascii="Times New Roman" w:hAnsi="Times New Roman"/>
          <w:b/>
          <w:i w:val="false"/>
          <w:color w:val="000000"/>
          <w:sz w:val="22"/>
        </w:rPr>
        <w:t xml:space="preserve">(125,135) </w:t>
      </w:r>
      <w:r>
        <w:rPr>
          <w:rFonts w:ascii="Times New Roman" w:hAnsi="Times New Roman"/>
          <w:b/>
          <w:i w:val="false"/>
          <w:color w:val="000000"/>
          <w:sz w:val="22"/>
        </w:rPr>
        <w:t xml:space="preserve">General standards for all programs. </w:t>
      </w:r>
      <w:r>
        <w:rPr>
          <w:rFonts w:ascii="Times New Roman" w:hAnsi="Times New Roman"/>
          <w:b w:val="false"/>
          <w:i w:val="false"/>
          <w:color w:val="000000"/>
          <w:sz w:val="22"/>
        </w:rPr>
        <w:t>The following standards apply to all programs. For programs for which both the general standards and specific standards apply, both sets of standards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w:t>
      </w: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 xml:space="preserve">The program shall have a formally designated governing body that complies with Iowa Code chapter </w:t>
      </w:r>
      <w:hyperlink r:id="rId46">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that is the ultimate authority for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develop and adopt written bylaws and policies that define the powers and duties of the governing body, its committees, its advisory groups, and the executive director. These bylaws and policies shall be reviewed and revised by the governing body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bylaws shall minimally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frequency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attendance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quorum necessary to transact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maintain minutes of all meetings, and the minutes shall be available for review by the department and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of members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Topics discussed;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Decisions reached and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duties of the governing body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Appointment of a qualified executive director, who shall have the responsibility and authority for the management of the program in accordance with the governing body’s established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Establishment of effective controls to ensure that quality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and approval of the program’s annual budget;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Approval of all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approve policies and procedures for the effective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be responsible for all funds, equipment, and supplies and the facility in which the program operates, if applicable. The governing body shall be responsible for the appropriateness and adequacy of services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at least annually prepare a report, which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occupation, and place of employment of each governing body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of any family relationship a member of the governing body has with a program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owners or controlling parties, whether they are individuals, partnerships, a corporation body, or a subdivision of other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Disclosure of any potential conflict of interest a member of the governing body may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that the program has malpractice, liability and workers’ compensation insurance for all staff and a fidelity bond that covers all staff,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shall have primary responsibility for program operations. The duties of the executive director shall be clearly defined in accordance with the policies established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155.21(3)</w:t>
      </w:r>
      <w:r>
        <w:rPr>
          <w:rFonts w:ascii="Times New Roman" w:hAnsi="Times New Roman"/>
          <w:b w:val="false"/>
          <w:i w:val="false"/>
          <w:color w:val="000000"/>
          <w:sz w:val="22"/>
        </w:rPr>
        <w:t> </w:t>
      </w:r>
      <w:r>
        <w:rPr>
          <w:rFonts w:ascii="Times New Roman" w:hAnsi="Times New Roman"/>
          <w:b w:val="false"/>
          <w:i/>
          <w:color w:val="000000"/>
          <w:sz w:val="22"/>
        </w:rPr>
        <w:t xml:space="preserve">Clinical oversight. </w:t>
      </w:r>
      <w:r>
        <w:rPr>
          <w:rFonts w:ascii="Times New Roman" w:hAnsi="Times New Roman"/>
          <w:b w:val="false"/>
          <w:i w:val="false"/>
          <w:color w:val="000000"/>
          <w:sz w:val="22"/>
        </w:rPr>
        <w:t>The program shall designate a treatment supervisor to oversee provision of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155.21(4)</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manual. </w:t>
      </w:r>
      <w:r>
        <w:rPr>
          <w:rFonts w:ascii="Times New Roman" w:hAnsi="Times New Roman"/>
          <w:b w:val="false"/>
          <w:i w:val="false"/>
          <w:color w:val="000000"/>
          <w:sz w:val="22"/>
        </w:rPr>
        <w:t>The program shall maintain and implement a written policies and procedures manual that documents the program’s compliance with these rules. The manual shall describe the program’s licensed program services and related activities, specify the policies and procedures to be followed, and govern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manual shall have a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Revisions to the manual shall be entered with the date and with the name and title of the staff person making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155.21(5)</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and training. </w:t>
      </w:r>
      <w:r>
        <w:rPr>
          <w:rFonts w:ascii="Times New Roman" w:hAnsi="Times New Roman"/>
          <w:b w:val="false"/>
          <w:i w:val="false"/>
          <w:color w:val="000000"/>
          <w:sz w:val="22"/>
        </w:rPr>
        <w:t>The program’s policies and procedures shall establish a staff development and training plan that encompasses all staff and all licensed program services, considers the professional continuing education requirements of certified and licensed staff, and is available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designate a staff person responsible for the staff development and training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staff person responsible for the staff development and training plan shall conduct an annual needs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development and training plan shall describe orientation for new staff that includes an overview of the program and licensed program services, confidentiality, tuberculosis and bloodborne pathogens, including HIV/AIDS, and culturally and environmentally specific information. Orientation shall also address the specific responsibilities of each staff person and community resources specific to the staff person’s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staff development and training plan shall address training when program operations or licensed program services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staff development and training plan may include on-site training activities. The program shall maintain minutes of on-site training that include the name and date of the training, the training topic, the name and title of the trainer, and the names of staff attending the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155.21(6)</w:t>
      </w: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r>
        <w:rPr>
          <w:rFonts w:ascii="Times New Roman" w:hAnsi="Times New Roman"/>
          <w:b w:val="false"/>
          <w:i w:val="false"/>
          <w:color w:val="000000"/>
          <w:sz w:val="22"/>
        </w:rPr>
        <w:t>The program’s policies and procedures shall describe how the program reports required data to the department in accordance with department requirements and processes.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155.21(7)</w:t>
      </w:r>
      <w:r>
        <w:rPr>
          <w:rFonts w:ascii="Times New Roman" w:hAnsi="Times New Roman"/>
          <w:b w:val="false"/>
          <w:i w:val="false"/>
          <w:color w:val="000000"/>
          <w:sz w:val="22"/>
        </w:rPr>
        <w:t> </w:t>
      </w:r>
      <w:r>
        <w:rPr>
          <w:rFonts w:ascii="Times New Roman" w:hAnsi="Times New Roman"/>
          <w:b w:val="false"/>
          <w:i/>
          <w:color w:val="000000"/>
          <w:sz w:val="22"/>
        </w:rPr>
        <w:t xml:space="preserve">Fiscal management. </w:t>
      </w:r>
      <w:r>
        <w:rPr>
          <w:rFonts w:ascii="Times New Roman" w:hAnsi="Times New Roman"/>
          <w:b w:val="false"/>
          <w:i w:val="false"/>
          <w:color w:val="000000"/>
          <w:sz w:val="22"/>
        </w:rPr>
        <w:t>The program’s policies and procedures shall ensure proper fiscal management,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preparation and maintenance of an annual written budget, which shall be reviewed and approved by the governing body prior to the beginning of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fiscal management system maintained in accordance with generally accepted accounting principles, including internal controls to reasonably protect program assets. This shall be verified by an annual independent fiscal audit of the program by the state auditor’s office or a certified public accountant based on an agreement entered into by the governing body. A program with an annual budget of $100,000 or less shall conduct a fiscal audit no less than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insurance program that provides for the protection of the physical and financial resources of the program and provides coverage for all people, buildings, and equipment. The insurance program shall be reviewed annually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155.21(8)</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program shall have personnel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Recruitment and selection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 and salary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Vacation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Lines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Rules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actions and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Methods for handling cases of inappropriate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Work performance appraisal;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Staff accidents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Staff 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Prohibition of sexual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Americans with Disabilities Act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the Drug-Free Workplace Act as amended to August 1, 2025;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Use of social media;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Implementation of 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for each position and each staff person a written job description that describes the duties of each position and staff and the qualifications required for each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staff person providing screening, OWI evaluation, assessment or treatment services in accordance with these rules shall be qualified as an addictive disorder professional by meeting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certified or licensed as a substance use disorder or problem gambling counselor by a national or state organization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marital and family therapist or a mental health counselor under Iowa Code chapters </w:t>
      </w:r>
      <w:hyperlink r:id="rId47">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 independent social worker under Iowa Code chapters </w:t>
      </w:r>
      <w:hyperlink r:id="rId49">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or another independent professional authorized by the Iowa Code to diagnose and treat mental disorders as specified 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master social worker under Iowa Code chapters </w:t>
      </w:r>
      <w:hyperlink r:id="rId5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bachelor social worker under Iowa Code chapters </w:t>
      </w:r>
      <w:hyperlink r:id="rId53">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temporarily or provisionally certified or licensed as allowed under a certification or license acceptable to the department. Such staff person must meet all requirements of the temporary or provisional certification or license, must be supervised by a staff person meeting one of the requirements of paragraphs “1” through “4” above, and must be fully certified or licensed within two years of the date on which the person began to provide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staff person employed on and after July 1, 2010, who is not qualified as described in any of the paragraphs “1” through “5” above shall be deemed qualified while the person is in the process of being certified or licensed under a certification or license acceptable to the department. Such staff must meet the requirements of the certification or licensure process, must be supervised by a staff person meeting one of the requirements of paragraphs “1” through “4” above, and must be fully certified or licensed within two years of the date on which the person began to provide licensed program services. The two-year time frame is continuous from the person’s date of first employment by the program, including if the person changes employment from one program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person employed before July 1, 2010, and continuously since that date at a program licensed pursuant to this chapter, who is not qualified as described in any of the paragraphs “1” through “5” above, shall be deemed qualified as long as such person remains employed by that program and that program remains licensed. Such staff shall maintain a minimum of 30 hours of training every two years, including a minimum of 3 hours of ethics training, and shall be supervised by a staff person meeting at least one of the conditions of paragraphs “1” through “4”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shall review job descriptions annually and whenever there is a change in a position’s duties or required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job descriptions in the personnel section of the policies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conduct a written evaluation of job performance with each staff person at least annually. The evaluation shall include the opportunity for the staff person to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personnel record on each staff person. The record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training, experience, qualifications, and professional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Job performance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Disciplinary action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review of and agreement to adhere to confidentiality laws and regulations. This review and agreement shall occur prior to the staff person’s assumption of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personnel policies and procedures shall ensure confidentiality of personnel records and shall specify staff authorized to have access to personnel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department in writing within ten days of being informed that a staff person has been sanctioned or disciplined by a certifying or licensing body. Such notice shall include the sanction or discipline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155.21(9)</w:t>
      </w:r>
      <w:r>
        <w:rPr>
          <w:rFonts w:ascii="Times New Roman" w:hAnsi="Times New Roman"/>
          <w:b w:val="false"/>
          <w:i w:val="false"/>
          <w:color w:val="000000"/>
          <w:sz w:val="22"/>
        </w:rPr>
        <w:t> </w:t>
      </w:r>
      <w:r>
        <w:rPr>
          <w:rFonts w:ascii="Times New Roman" w:hAnsi="Times New Roman"/>
          <w:b w:val="false"/>
          <w:i/>
          <w:color w:val="000000"/>
          <w:sz w:val="22"/>
        </w:rPr>
        <w:t xml:space="preserve">Child abuse, dependent adult abuse and criminal history background checks. </w:t>
      </w:r>
      <w:r>
        <w:rPr>
          <w:rFonts w:ascii="Times New Roman" w:hAnsi="Times New Roman"/>
          <w:b w:val="false"/>
          <w:i w:val="false"/>
          <w:color w:val="000000"/>
          <w:sz w:val="22"/>
        </w:rPr>
        <w:t>The program’s policies and procedures shall address child abuse, dependent adult abuse and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prohibit mistreatment, neglect, or abuse of children and dependent adults and shall specify reporting and enforcement procedures. Alleged violations shall be reported immediately to the program’s executive director and appropriate department personnel. Policies and procedures on reporting alleged violations shall be in compliance with subrule </w:t>
      </w:r>
      <w:hyperlink r:id="rId55">
        <w:r>
          <w:rPr>
            <w:rStyle w:val="Hyperlink"/>
            <w:rFonts w:ascii="Times New Roman" w:hAnsi="Times New Roman"/>
            <w:b w:val="false"/>
            <w:i w:val="false"/>
            <w:color w:val="000000"/>
            <w:sz w:val="22"/>
          </w:rPr>
          <w:t>155.21(10)</w:t>
        </w:r>
      </w:hyperlink>
      <w:r>
        <w:rPr>
          <w:rFonts w:ascii="Times New Roman" w:hAnsi="Times New Roman"/>
          <w:b w:val="false"/>
          <w:i w:val="false"/>
          <w:color w:val="000000"/>
          <w:sz w:val="22"/>
        </w:rPr>
        <w:t xml:space="preserve">. A staff person found to be in violation of Iowa Code sections </w:t>
      </w:r>
      <w:hyperlink r:id="rId56">
        <w:r>
          <w:rPr>
            <w:rStyle w:val="Hyperlink"/>
            <w:rFonts w:ascii="Times New Roman" w:hAnsi="Times New Roman"/>
            <w:b w:val="false"/>
            <w:i w:val="false"/>
            <w:color w:val="000000"/>
            <w:sz w:val="22"/>
          </w:rPr>
          <w:t>232.67</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 as substantiated by a department investigation, shall be subject to the program’s policies concerning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staff person working with juveniles as set forth in Iowa Code section </w:t>
      </w:r>
      <w:hyperlink r:id="rId58">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 xml:space="preserve"> or with dependent adults as set forth in Iowa Code chapter </w:t>
      </w:r>
      <w:hyperlink r:id="rId59">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the personnel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a criminal history background check with the Iowa division of criminal investigation on all new staff applicants. The background check shall include asking whether the applicant has been convicted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furnished by a new staff applicant that discloses any substantiated report of child abuse, neglect or sexual abuse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a check prior to permanent acceptance of a person as staff, with the Iowa central registry for any substantiated reports of child abuse, neglect or sexual abuse pursuant to Iowa Code section </w:t>
      </w:r>
      <w:hyperlink r:id="rId60">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 xml:space="preserve"> or substantiated reports of dependent adult abuse for all staff hired or accepted on or after July 1, 1994, pursuant to Iowa Code chapter </w:t>
      </w:r>
      <w:hyperlink r:id="rId61">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has a record of a criminal conviction or founded child abuse report or founded dependent adult abuse report shall not be hired or accepted as staff unless an evaluation of the crime or founded child abuse or founded dependent adult abuse has been made by the department  that concludes that the crime or founded child abuse or founded dependent adult abuse does not merit prohibition of employment. If a record of criminal conviction or founded child abuse or founded dependent adult abuse does exist, the person shall be offered the opportunity to complete and submit a Record Check Evaluation form. In its evaluation, the department will consider the nature and seriousness of the crime or founded abuse in relation to the position sought, the time elapsed since the commission of the crime or founded abuse, the circumstances under which the crime or founded abuse was committed, the degree of rehabilitation and 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staff person providing screening, OWI evaluation, assessment or treatment in accordance with this chapter shall complete the department’s core training curriculum pursuant to Iowa Code sections </w:t>
      </w:r>
      <w:hyperlink r:id="rId6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within six months of initial employment or self-employment and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155.21(10)</w:t>
      </w:r>
      <w:r>
        <w:rPr>
          <w:rFonts w:ascii="Times New Roman" w:hAnsi="Times New Roman"/>
          <w:b w:val="false"/>
          <w:i w:val="false"/>
          <w:color w:val="000000"/>
          <w:sz w:val="22"/>
        </w:rPr>
        <w:t> </w:t>
      </w:r>
      <w:r>
        <w:rPr>
          <w:rFonts w:ascii="Times New Roman" w:hAnsi="Times New Roman"/>
          <w:b w:val="false"/>
          <w:i/>
          <w:color w:val="000000"/>
          <w:sz w:val="22"/>
        </w:rPr>
        <w:t xml:space="preserve">Patient records. </w:t>
      </w:r>
      <w:r>
        <w:rPr>
          <w:rFonts w:ascii="Times New Roman" w:hAnsi="Times New Roman"/>
          <w:b w:val="false"/>
          <w:i w:val="false"/>
          <w:color w:val="000000"/>
          <w:sz w:val="22"/>
        </w:rPr>
        <w:t>The program’s policies and procedures shall describe compilation, storage and dissemination of patient records and release or disclosure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protects the patient record against loss, tampering or unauthorized disclosure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and format of patient records are uniform;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entries in the patient record are in chronological order, signed, dated and legible. When records are maintained electronically, a staff identification code number authorizing access shall be accepted in lieu of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entry in the patient record is made in permanent ink, by typewriter, or by computer;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Entries in the patient record use language consistent with generally accepted standards of practice and do not include abstract terms, technical jargon or slang.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adequate physical facilities for the secure storage, processing and handling of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patient records shall be readily accessible to staff as specifically authorized by program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appropriately maintain and dispose of patient records. Patient records shall be maintained for not less than seven years from the date they are officially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file cabinet or storage area containing patient records shall be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release or disclose information on individuals seeking program services or on patients in strict accordance with the Health Insurance Portability and Accountability Act (HIPAA) as amended to August 1, 2025, and state and federal confidentiality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substance use disorder patient records and information is protected by HIPAA as amended to August 1, 2025, and the regulations on confidentiality of alcohol and drug abuse patient records,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 which implement federal statutory provisions, </w:t>
      </w:r>
      <w:r>
        <w:rPr>
          <w:rFonts w:ascii="Times New Roman" w:hAnsi="Times New Roman"/>
          <w:b w:val="false"/>
          <w:i w:val="false"/>
          <w:color w:val="000000"/>
          <w:sz w:val="22"/>
        </w:rPr>
        <w:t>42 U.S.C. 290d</w:t>
      </w:r>
      <w:r>
        <w:rPr>
          <w:rFonts w:ascii="Times New Roman" w:hAnsi="Times New Roman"/>
          <w:b w:val="false"/>
          <w:i w:val="false"/>
          <w:color w:val="000000"/>
          <w:sz w:val="22"/>
        </w:rPr>
        <w:t xml:space="preserve">d-2 applicable to alcohol abuse patient records, and </w:t>
      </w:r>
      <w:r>
        <w:rPr>
          <w:rFonts w:ascii="Times New Roman" w:hAnsi="Times New Roman"/>
          <w:b w:val="false"/>
          <w:i w:val="false"/>
          <w:color w:val="000000"/>
          <w:sz w:val="22"/>
        </w:rPr>
        <w:t>42 U.S.C. 290e</w:t>
      </w:r>
      <w:r>
        <w:rPr>
          <w:rFonts w:ascii="Times New Roman" w:hAnsi="Times New Roman"/>
          <w:b w:val="false"/>
          <w:i w:val="false"/>
          <w:color w:val="000000"/>
          <w:sz w:val="22"/>
        </w:rPr>
        <w:t>e-3 both as amended to August 1, 2025, applicable to drug abuse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problem gambling patient records and information is protected by HIPAA as amended to August 1, 2025, Iowa Code chapter </w:t>
      </w:r>
      <w:hyperlink r:id="rId6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section </w:t>
      </w:r>
      <w:hyperlink r:id="rId65">
        <w:r>
          <w:rPr>
            <w:rStyle w:val="Hyperlink"/>
            <w:rFonts w:ascii="Times New Roman" w:hAnsi="Times New Roman"/>
            <w:b w:val="false"/>
            <w:i w:val="false"/>
            <w:color w:val="000000"/>
            <w:sz w:val="22"/>
          </w:rPr>
          <w:t>22.7(35)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program that provides licensed program services via electronic means shall inform the patient of the limitations and risks associated with such services and shall document in the patient record that such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properly executed written release of information or authorization to disclose signed by the patient, the program shall release patient records in a timely manner. A program shall not refuse to release patient records related to continuation of care solely because payment has not been received. A program may refuse to release patient records that are unrelated to continuation of care if payment has not been received. A program may refuse to file the reporting form required by </w:t>
      </w:r>
      <w:hyperlink r:id="rId66">
        <w:r>
          <w:rPr>
            <w:rStyle w:val="Hyperlink"/>
            <w:rFonts w:ascii="Times New Roman" w:hAnsi="Times New Roman"/>
            <w:b w:val="false"/>
            <w:i w:val="false"/>
            <w:color w:val="000000"/>
            <w:sz w:val="22"/>
          </w:rPr>
          <w:t>641—subrule 157.3(1)</w:t>
        </w:r>
      </w:hyperlink>
      <w:r>
        <w:rPr>
          <w:rFonts w:ascii="Times New Roman" w:hAnsi="Times New Roman"/>
          <w:b w:val="false"/>
          <w:i w:val="false"/>
          <w:color w:val="000000"/>
          <w:sz w:val="22"/>
        </w:rPr>
        <w:t xml:space="preserve">, “Notice Iowa Code </w:t>
      </w:r>
      <w:hyperlink r:id="rId6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—Confidential Medical Record,” reporting screening, evaluation, and treatment completion, if payment has not been received for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155.21(11)</w:t>
      </w:r>
      <w:r>
        <w:rPr>
          <w:rFonts w:ascii="Times New Roman" w:hAnsi="Times New Roman"/>
          <w:b w:val="false"/>
          <w:i w:val="false"/>
          <w:color w:val="000000"/>
          <w:sz w:val="22"/>
        </w:rPr>
        <w:t> </w:t>
      </w:r>
      <w:r>
        <w:rPr>
          <w:rFonts w:ascii="Times New Roman" w:hAnsi="Times New Roman"/>
          <w:b w:val="false"/>
          <w:i/>
          <w:color w:val="000000"/>
          <w:sz w:val="22"/>
        </w:rPr>
        <w:t xml:space="preserve">Assessment and admission. </w:t>
      </w:r>
      <w:r>
        <w:rPr>
          <w:rFonts w:ascii="Times New Roman" w:hAnsi="Times New Roman"/>
          <w:b w:val="false"/>
          <w:i w:val="false"/>
          <w:color w:val="000000"/>
          <w:sz w:val="22"/>
        </w:rPr>
        <w:t>The program’s policies and procedures shall address screening, assessment, referral and admission and documentation of such activities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conduct an assessment with each patient prior to admission unless the patient’s current risk factors indicate a need for immediate 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program admits a patient based on a screening or initial assessment that indicates the patient requires immediate admission, that screening or initial assessment must be updated and expanded to a full assessment when the patient’s current risk factors are stabilized.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shall be documented in the patient record and shall be organized in a manner that supports development of a treatment plan by the program or by any program to which the patient is referred.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implement a uniform assessment process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to be gathered;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accepting a referral from another program, agency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referring a patient to another program, agency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treatment program, problem gambling treatment program, or substance use disorder and problem gambling treatment program shall update the assessment on an ongoing basis, when clinically indicated, and within the periods of time specified for each level of care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each assessment shall be clearly explained to the patient, and to the patient’s family when appropriate, and such explanation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the time of admission, a substance use disorder treatment program, problem gambling treatment program, or substance use disorder and problem gambling treatment program shall document that the patient has been informed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Rules governing patient conduct and infractions that can lead to disciplinary action or discharge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hours during which services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to be borne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Confidentiality laws,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155.21(12)</w:t>
      </w:r>
      <w:r>
        <w:rPr>
          <w:rFonts w:ascii="Times New Roman" w:hAnsi="Times New Roman"/>
          <w:b w:val="false"/>
          <w:i w:val="false"/>
          <w:color w:val="000000"/>
          <w:sz w:val="22"/>
        </w:rPr>
        <w:t> </w:t>
      </w:r>
      <w:r>
        <w:rPr>
          <w:rFonts w:ascii="Times New Roman" w:hAnsi="Times New Roman"/>
          <w:b w:val="false"/>
          <w:i/>
          <w:color w:val="000000"/>
          <w:sz w:val="22"/>
        </w:rPr>
        <w:t xml:space="preserve">Treatment plans. </w:t>
      </w:r>
      <w:r>
        <w:rPr>
          <w:rFonts w:ascii="Times New Roman" w:hAnsi="Times New Roman"/>
          <w:b w:val="false"/>
          <w:i w:val="false"/>
          <w:color w:val="000000"/>
          <w:sz w:val="22"/>
        </w:rPr>
        <w:t>The policies and procedures for substance use disorder treatment programs, problem gambling treatment programs, and substance use disorder and problem gambling treatment programs shall describe the program’s uniform process for developing individualized treatment plans based on ongoing assessment and documentation of such plans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initiate development of the treatment plan as soon after the patient’s admission as is clinically feasible and within the period of time between admission and the review date specified for that level of care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minimally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summary of assessment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short- and long-term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and frequency of planned treatment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staff responsible for the patient’s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Culturally and environmentally specific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develop each treatment plan in partnership with the patient, with patient participation documented in the patient record. The treatment plan shall be written in a manner clearly understandable to the patient. Staff shall give the patient a copy of each treatment plan. The patient and staff shall review and revise the treatment plan when clinically indicated and in accordance with the time frames specified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plan reviews shall be based on ongoing assessment and shall specify the indicated level of care and licensed program services and any revision of treatment plan goals. The date of the review and any revision of the treatment plan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155.21(13)</w:t>
      </w:r>
      <w:r>
        <w:rPr>
          <w:rFonts w:ascii="Times New Roman" w:hAnsi="Times New Roman"/>
          <w:b w:val="false"/>
          <w:i w:val="false"/>
          <w:color w:val="000000"/>
          <w:sz w:val="22"/>
        </w:rPr>
        <w:t> </w:t>
      </w:r>
      <w:r>
        <w:rPr>
          <w:rFonts w:ascii="Times New Roman" w:hAnsi="Times New Roman"/>
          <w:b w:val="false"/>
          <w:i/>
          <w:color w:val="000000"/>
          <w:sz w:val="22"/>
        </w:rPr>
        <w:t xml:space="preserve">Progress notes. </w:t>
      </w:r>
      <w:r>
        <w:rPr>
          <w:rFonts w:ascii="Times New Roman" w:hAnsi="Times New Roman"/>
          <w:b w:val="false"/>
          <w:i w:val="false"/>
          <w:color w:val="000000"/>
          <w:sz w:val="22"/>
        </w:rPr>
        <w:t>The policies and procedures for substance use disorder treatment programs, problem gambling treatment programs, and substance use disorder and problem gambling treatment programs shall describe the program’s uniform process for reviewing a patient’s current status and progress in meeting treatment plan goals and documenting such review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Progress notes shall include the date each service was provided or observation was made and the name and title of the staff person providing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shall enter a progress note following each individual counseling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enter a summary progress note at least weekly for group counseling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Progress notes that involve subjective interpretations of a patient’s status or progress should be supplemented with a description of the behavioral observations that were the basis for the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155.21(14)</w:t>
      </w:r>
      <w:r>
        <w:rPr>
          <w:rFonts w:ascii="Times New Roman" w:hAnsi="Times New Roman"/>
          <w:b w:val="false"/>
          <w:i w:val="false"/>
          <w:color w:val="000000"/>
          <w:sz w:val="22"/>
        </w:rPr>
        <w:t> </w:t>
      </w:r>
      <w:r>
        <w:rPr>
          <w:rFonts w:ascii="Times New Roman" w:hAnsi="Times New Roman"/>
          <w:b w:val="false"/>
          <w:i/>
          <w:color w:val="000000"/>
          <w:sz w:val="22"/>
        </w:rPr>
        <w:t xml:space="preserve">Patient record contents. </w:t>
      </w:r>
      <w:r>
        <w:rPr>
          <w:rFonts w:ascii="Times New Roman" w:hAnsi="Times New Roman"/>
          <w:b w:val="false"/>
          <w:i w:val="false"/>
          <w:color w:val="000000"/>
          <w:sz w:val="22"/>
        </w:rPr>
        <w:t>The program’s policies and procedures shall require that a record be maintained for each patient and shall specify the contents of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any physical examination or laboratory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report from a referring source or outside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Notes from any case conference, consultation, care coordination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correspondence related to the patient, including letters, electronic communications and telephone conversations;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treatment consent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release of information or authorization to disclose;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Notes on any service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incident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substance use disorder treatment programs, problem gambling treatment programs, and substance use disorder and problem gambling treatment programs, the patient record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Management-of-care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records, which shall allow for the monitoring of all medications administered and self-administered and detection of adverse drug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Discharge summaries completed within 30 days of discharge, which shall be sufficiently detailed to identify the types of services the patient received, action taken to address specific problems identified, and plans for services and referrals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problem gambling treatment programs and substance use disorder and problem gambling treatment programs, the patient record shall also include documentation of financial counseling services that assist problem gambling patients in preparing a budget and addressing financial debt options, including restitution and bankruptcy.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155.21(15)</w:t>
      </w:r>
      <w:r>
        <w:rPr>
          <w:rFonts w:ascii="Times New Roman" w:hAnsi="Times New Roman"/>
          <w:b w:val="false"/>
          <w:i w:val="false"/>
          <w:color w:val="000000"/>
          <w:sz w:val="22"/>
        </w:rPr>
        <w:t> </w:t>
      </w:r>
      <w:r>
        <w:rPr>
          <w:rFonts w:ascii="Times New Roman" w:hAnsi="Times New Roman"/>
          <w:b w:val="false"/>
          <w:i/>
          <w:color w:val="000000"/>
          <w:sz w:val="22"/>
        </w:rPr>
        <w:t xml:space="preserve">Drug screening. </w:t>
      </w:r>
      <w:r>
        <w:rPr>
          <w:rFonts w:ascii="Times New Roman" w:hAnsi="Times New Roman"/>
          <w:b w:val="false"/>
          <w:i w:val="false"/>
          <w:color w:val="000000"/>
          <w:sz w:val="22"/>
        </w:rPr>
        <w:t>The program’s policies and procedures shall address collection of drug-screening specimens and utilization of drug-screening results. Such policies may state that the program does not conduct drug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specimen obtained from a patient shall be collected under direct supervision and analyzed in accordance with program policies, or the program shall have a policy in place to reduce the patient’s ability to alter the drug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laboratory used by the program for drug screening and analysis shall comply with federal and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conducting on-site drug screening shall comply with the Clinical Laboratory Improvement Act regulations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manner in which drug-screening results are utilized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155.21(16)</w:t>
      </w:r>
      <w:r>
        <w:rPr>
          <w:rFonts w:ascii="Times New Roman" w:hAnsi="Times New Roman"/>
          <w:b w:val="false"/>
          <w:i w:val="false"/>
          <w:color w:val="000000"/>
          <w:sz w:val="22"/>
        </w:rPr>
        <w:t> </w:t>
      </w:r>
      <w:r>
        <w:rPr>
          <w:rFonts w:ascii="Times New Roman" w:hAnsi="Times New Roman"/>
          <w:b w:val="false"/>
          <w:i/>
          <w:color w:val="000000"/>
          <w:sz w:val="22"/>
        </w:rPr>
        <w:t xml:space="preserve">Medical and mental health services. </w:t>
      </w:r>
      <w:r>
        <w:rPr>
          <w:rFonts w:ascii="Times New Roman" w:hAnsi="Times New Roman"/>
          <w:b w:val="false"/>
          <w:i w:val="false"/>
          <w:color w:val="000000"/>
          <w:sz w:val="22"/>
        </w:rPr>
        <w:t>The program’s policies and procedures shall address patient medical and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assessment of biomedical conditions and complications as described in the ASAM criteria, the program shall take a medical history and perform a physical examination and necessary laboratory tests as follows for patients admitted to the level of care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and medically monitored intensive inpatient treatment: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and clinically managed medium-intensity residential treatment: within seven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within 21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Crisis stabilization services and opioid treatment program services: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may accept a medical history or physical examination from a qualified source if the history or examination was completed no more than 90 days prior to the patient’s current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assessment of emotional, behavioral, and cognitive conditions and complications as described in the ASAM criteria, a program may accept a mental health history from a qualified source if the history was completed no more than three days prior to the patient’s current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155.21(17)</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The program’s policies and procedures shall address the availability of emergency services for substance use disorders and medical and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services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services may be provided by the program or by any other qualified individual, institution, facility, or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communicate the availability of emergency services by posting notice at facilities, having a recorded message on the program’s telephone system, posting notice on the program’s website and through program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155.21(18)</w:t>
      </w:r>
      <w:r>
        <w:rPr>
          <w:rFonts w:ascii="Times New Roman" w:hAnsi="Times New Roman"/>
          <w:b w:val="false"/>
          <w:i w:val="false"/>
          <w:color w:val="000000"/>
          <w:sz w:val="22"/>
        </w:rPr>
        <w:t> </w:t>
      </w:r>
      <w:r>
        <w:rPr>
          <w:rFonts w:ascii="Times New Roman" w:hAnsi="Times New Roman"/>
          <w:b w:val="false"/>
          <w:i/>
          <w:color w:val="000000"/>
          <w:sz w:val="22"/>
        </w:rPr>
        <w:t xml:space="preserve">Medication control. </w:t>
      </w:r>
      <w:r>
        <w:rPr>
          <w:rFonts w:ascii="Times New Roman" w:hAnsi="Times New Roman"/>
          <w:b w:val="false"/>
          <w:i w:val="false"/>
          <w:color w:val="000000"/>
          <w:sz w:val="22"/>
        </w:rPr>
        <w:t xml:space="preserve">The program’s policies and procedures shall describe how medications are administered or self-administered in accordance with federal, state and local laws, rules and regulations. Such policies may state that the program does not conduct medication administration or self-administration.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authorized to administer medications shall be qualified, and a current list of such staff shall be maintained.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shall be administered only in accordance with the instructions of the attending prescriber. The type and amount of the medication, the time and date, and the staff person administering the medication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 shall be observed by a staff person who has been oriented to the program’s policies and procedures on self-administration. Self-administration of medication shall be permitted only when the patient’s medication is clearly labeled. The policies and procedures on self-administration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are ordered or prescribed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prescriber agrees that the patient can self-administer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medication taken and how and when the medication is taken are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shall not be administered to or self-administered by a patient without a written order signed by a prescriber. All prescribed medications shall be clearly labeled indicating the patient’s full name, the prescriber’s name, the prescription number, the name and strength of the medication, the dosage, the directions for use, and the date of issue and the name, address and telephone number of the pharmacy or prescriber issuing the medication. Medications shall be packaged and labeled according to state and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medication the patient brings to the program is not used, it shall be packaged, sealed and stored. The sealed package of medication shall be returned to the patient, family or designee at the time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Accountability and control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a specific routine for medication administration, indicating dose schedules and standardization of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specific methods for control and accountability of medication products throughout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staff person in charge of medications shall provide for monthly inspection of all storage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containers having soiled, damaged, illegible, or makeshift labels shall be returned to the issuing pharmacist, pharmacy, or prescriber for relabeling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Unused prescription medication prescribed for a patient who leaves a program without the patient’s medication shall be destroyed by a staff person with a staff witness, and a notation shall be made in the patient record. When a patient is discharged or leaves the program, medication currently being administered shall be sent, in the original container, with the patient or with a responsible agent, as approved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storage shall be maintained in accordance with the security requirements of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medication shall be maintained in locked storage. Controlled substances shall be maintained in a locked box within the locked cabinet.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in a refrigerator and separated from food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Disinfectants and medication for external use shall be stored separately from internal and injectable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patient shall be stored in the original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poisonous or caustic medication shall be plainly labeled; stored separately from other medication in a specific well-illuminated cabinet, closet, or storeroom and made accessible only to authorized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provided to a patient shall be dispensed only from a licensed pharmacy in the state of Iowa in accordance with the pharmacy laws in the Iowa Code, from a licensed pharmacy in another state according to the laws of that state, or by a licensed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prescribed for one patient shall not be administered to or allowed to be in the possession of another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unusual patient reaction to a medication shall be documented in the patient record and reported to the prescriber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Dilution or reconstitution and labeling of medication shall be done only by a licensed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155.21(19)</w:t>
      </w:r>
      <w:r>
        <w:rPr>
          <w:rFonts w:ascii="Times New Roman" w:hAnsi="Times New Roman"/>
          <w:b w:val="false"/>
          <w:i w:val="false"/>
          <w:color w:val="000000"/>
          <w:sz w:val="22"/>
        </w:rPr>
        <w:t> </w:t>
      </w:r>
      <w:r>
        <w:rPr>
          <w:rFonts w:ascii="Times New Roman" w:hAnsi="Times New Roman"/>
          <w:b w:val="false"/>
          <w:i/>
          <w:color w:val="000000"/>
          <w:sz w:val="22"/>
        </w:rPr>
        <w:t xml:space="preserve">Management of care and discharge planning. </w:t>
      </w:r>
      <w:r>
        <w:rPr>
          <w:rFonts w:ascii="Times New Roman" w:hAnsi="Times New Roman"/>
          <w:b w:val="false"/>
          <w:i w:val="false"/>
          <w:color w:val="000000"/>
          <w:sz w:val="22"/>
        </w:rPr>
        <w:t>The program’s policies and procedures shall use the ASAM criteria for assessment, admission, continued service and discharge decisions and shall describe management-of-care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conduct care coordination to meet each patient’s needs and promote 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conduct management-of-care activities at least minimally within the time frames specified for each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and medically monitored intensive inpatient treatment: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clinically managed medium-intensity residential treatment, partial/day treatment, and intensive outpatient treatment: within seven days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and outpatient treatment: within 30 days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coordinate patient care with other programs for any licensed program service for which the program is not licensed and with qualified individuals and organizations for any related services the program does not provide, such as crisis stabilization, medical services, mental health services, and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time of the patient’s admission, the program shall initiate discharge planning that includes a determination of the patient’s continued need for licensed program services and development of a plan to address ongoing patient needs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155.21(20)</w:t>
      </w: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w:t>
      </w:r>
      <w:r>
        <w:rPr>
          <w:rFonts w:ascii="Times New Roman" w:hAnsi="Times New Roman"/>
          <w:b w:val="false"/>
          <w:i w:val="false"/>
          <w:color w:val="000000"/>
          <w:sz w:val="22"/>
        </w:rPr>
        <w:t>The program’s policies and procedures shall describe a written quality improvement plan that encompasses all licensed program services and related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designate a staff person responsible for the quality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describe and document monitoring, problem-solving and evaluation activities designed to systematically identify and resolve problems and make continued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include specific goals, objectives,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include objective criteria to measure its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document whether the quality of patient care and program operations are improved and identified problems are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communicate quality improvement plan activities and findings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Quality improvement plan findings are used to detect trends, patterns of performance, and potential problems that affect patient care and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evaluate the effectiveness of the quality improvement plan at least annually and revise the plan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155.21(21)</w:t>
      </w:r>
      <w:r>
        <w:rPr>
          <w:rFonts w:ascii="Times New Roman" w:hAnsi="Times New Roman"/>
          <w:b w:val="false"/>
          <w:i w:val="false"/>
          <w:color w:val="000000"/>
          <w:sz w:val="22"/>
        </w:rPr>
        <w:t> </w:t>
      </w:r>
      <w:r>
        <w:rPr>
          <w:rFonts w:ascii="Times New Roman" w:hAnsi="Times New Roman"/>
          <w:b w:val="false"/>
          <w:i/>
          <w:color w:val="000000"/>
          <w:sz w:val="22"/>
        </w:rPr>
        <w:t xml:space="preserve">Facility safety and cleanliness. </w:t>
      </w:r>
      <w:r>
        <w:rPr>
          <w:rFonts w:ascii="Times New Roman" w:hAnsi="Times New Roman"/>
          <w:b w:val="false"/>
          <w:i w:val="false"/>
          <w:color w:val="000000"/>
          <w:sz w:val="22"/>
        </w:rPr>
        <w:t>The program’s policies and procedures shall ensure that program physical facilities are clean, well-ventilated, heated, free from vermin, and appropriately furnished and are designed, constructed, equipped, and maintained in a manner that provides for the physical safety of patients, concerned persons, visitors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required by local jurisdiction, the program shall maintain a certification of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all phases of construction or alterations of buildings, the level of life safety shall not be diminished in any occupied area. The construction shall be in compliance with all applicable federal, state, and local codes. New construction shall comply with Iowa Code chapter </w:t>
      </w:r>
      <w:hyperlink r:id="rId68">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all applicable federal and local codes and provide for safe and convenient use by disabled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specific policies and procedures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development, implementation, maintenance and review of safety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Promotion and maintenance of an ongoing, facilitywide hazard surveillance program to detect and report all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 and proper disposal of biohazardous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Stairways, halls, and aisles that shall be of substantial, nonslippery material, maintained in a good state of repair, adequately lighted and kept free from obstructions at all times. All stairways shall have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Radiators, registers, and steam and hot water pipes, each of which shall have protective covering or insulation. Electrical outlets and switches shall have wall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programs serving juveniles, fuse boxes that shall be under lock and key or six feet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 and proper handling and storage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Prohibition against weapon possession; safe and proper removal of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Swimming pools that shall conform to state and local health and safety rules and regulations. Adult supervision shall be provided at all times when juveniles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Ponds, lakes, or any bodies of water located on or near the program and accessible to patients, concerned persons, visitors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written plan to be followed in the event of fire or tornado. The plan shall be conspicuously displayed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155.21(22)</w:t>
      </w:r>
      <w:r>
        <w:rPr>
          <w:rFonts w:ascii="Times New Roman" w:hAnsi="Times New Roman"/>
          <w:b w:val="false"/>
          <w:i w:val="false"/>
          <w:color w:val="000000"/>
          <w:sz w:val="22"/>
        </w:rPr>
        <w:t> </w:t>
      </w:r>
      <w:r>
        <w:rPr>
          <w:rFonts w:ascii="Times New Roman" w:hAnsi="Times New Roman"/>
          <w:b w:val="false"/>
          <w:i/>
          <w:color w:val="000000"/>
          <w:sz w:val="22"/>
        </w:rPr>
        <w:t xml:space="preserve">Therapeutic environment. </w:t>
      </w:r>
      <w:r>
        <w:rPr>
          <w:rFonts w:ascii="Times New Roman" w:hAnsi="Times New Roman"/>
          <w:b w:val="false"/>
          <w:i w:val="false"/>
          <w:color w:val="000000"/>
          <w:sz w:val="22"/>
        </w:rPr>
        <w:t xml:space="preserve">The program’s policies and procedures shall provide for the establishment of an environment that preserves human dignity. Program facilities shall have adequate space for the program to provide licensed 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 a description of how all licensed program services are accessible to people with disabilities or how the program provides accommodations for people with disabilities. All programs shall comply with the Americans with Disabilities Act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waiting or reception areas shall be of adequate size and be located so as to ensure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be available in waiting or reception areas to address the needs of the patients, potential patients, concerned persons, and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Possession and use of chemical substances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Prohibition of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Prohibition of the sale or other provision of any tobacco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Informing patients of their legal and human rights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communication, opinions, or grievances, with a mechanism for redress.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Prohibition of sexual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Patient right to privacy.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641—155.22</w:t>
      </w:r>
      <w:r>
        <w:rPr>
          <w:rFonts w:ascii="Times New Roman" w:hAnsi="Times New Roman"/>
          <w:b/>
          <w:i w:val="false"/>
          <w:color w:val="000000"/>
          <w:sz w:val="22"/>
        </w:rPr>
        <w:t xml:space="preserve">(125,135) </w:t>
      </w:r>
      <w:r>
        <w:rPr>
          <w:rFonts w:ascii="Times New Roman" w:hAnsi="Times New Roman"/>
          <w:b/>
          <w:i w:val="false"/>
          <w:color w:val="000000"/>
          <w:sz w:val="22"/>
        </w:rPr>
        <w:t xml:space="preserve">Inpatient and residential program facilities. </w:t>
      </w:r>
      <w:r>
        <w:rPr>
          <w:rFonts w:ascii="Times New Roman" w:hAnsi="Times New Roman"/>
          <w:b w:val="false"/>
          <w:i w:val="false"/>
          <w:color w:val="000000"/>
          <w:sz w:val="22"/>
        </w:rPr>
        <w:t>Specific standards apply for programs providing clinically managed low-intensity residential treatment, clinically managed medium-intensity residential treatment, clinically managed high-intensity residential treatment, medically monitored intensive inpatient treatment, and medically managed intensive inpatient treatment.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155.22(1)</w:t>
      </w:r>
      <w:r>
        <w:rPr>
          <w:rFonts w:ascii="Times New Roman" w:hAnsi="Times New Roman"/>
          <w:b w:val="false"/>
          <w:i w:val="false"/>
          <w:color w:val="000000"/>
          <w:sz w:val="22"/>
        </w:rPr>
        <w:t> </w:t>
      </w:r>
      <w:r>
        <w:rPr>
          <w:rFonts w:ascii="Times New Roman" w:hAnsi="Times New Roman"/>
          <w:b w:val="false"/>
          <w:i/>
          <w:color w:val="000000"/>
          <w:sz w:val="22"/>
        </w:rPr>
        <w:t xml:space="preserve">Health and fire safety inspections. </w:t>
      </w:r>
      <w:r>
        <w:rPr>
          <w:rFonts w:ascii="Times New Roman" w:hAnsi="Times New Roman"/>
          <w:b w:val="false"/>
          <w:i w:val="false"/>
          <w:color w:val="000000"/>
          <w:sz w:val="22"/>
        </w:rPr>
        <w:t>Inpatient and residential programs shall comply with applicable department of inspections, appeals, and licensing rules; state fire marshal’s rules and fire ordinances; and applicable local health, fire, occupancy, and safety regulations. The program shall maintain documentation of such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Inpatient and residential programs shall comply with standards for food service sanitation in accordance with rules promulgated by the department of inspections, appeals, and licensing pursuant to </w:t>
      </w:r>
      <w:hyperlink r:id="rId69">
        <w:r>
          <w:rPr>
            <w:rStyle w:val="Hyperlink"/>
            <w:rFonts w:ascii="Times New Roman" w:hAnsi="Times New Roman"/>
            <w:b w:val="false"/>
            <w:i w:val="false"/>
            <w:color w:val="000000"/>
            <w:sz w:val="22"/>
          </w:rPr>
          <w:t>481—Chapter 30</w:t>
        </w:r>
      </w:hyperlink>
      <w:r>
        <w:rPr>
          <w:rFonts w:ascii="Times New Roman" w:hAnsi="Times New Roman"/>
          <w:b w:val="false"/>
          <w:i w:val="false"/>
          <w:color w:val="000000"/>
          <w:sz w:val="22"/>
        </w:rPr>
        <w:t xml:space="preserve"> and Iowa Code chapter </w:t>
      </w:r>
      <w:hyperlink r:id="rId7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door locks or closed sections shall be documented in written policies and procedures approved by the fire marshal and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155.22(2)</w:t>
      </w:r>
      <w:r>
        <w:rPr>
          <w:rFonts w:ascii="Times New Roman" w:hAnsi="Times New Roman"/>
          <w:b w:val="false"/>
          <w:i w:val="false"/>
          <w:color w:val="000000"/>
          <w:sz w:val="22"/>
        </w:rPr>
        <w:t> </w:t>
      </w:r>
      <w:r>
        <w:rPr>
          <w:rFonts w:ascii="Times New Roman" w:hAnsi="Times New Roman"/>
          <w:b w:val="false"/>
          <w:i/>
          <w:color w:val="000000"/>
          <w:sz w:val="22"/>
        </w:rPr>
        <w:t xml:space="preserve">Emergency preparedness. </w:t>
      </w:r>
      <w:r>
        <w:rPr>
          <w:rFonts w:ascii="Times New Roman" w:hAnsi="Times New Roman"/>
          <w:b w:val="false"/>
          <w:i w:val="false"/>
          <w:color w:val="000000"/>
          <w:sz w:val="22"/>
        </w:rPr>
        <w:t>Inpatient and residential programs shall have a written emergency preparedness plan for continuation of licensed program services during an emergency or disaster.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641—155.23</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inpatient and residential programs. </w:t>
      </w:r>
      <w:r>
        <w:rPr>
          <w:rFonts w:ascii="Times New Roman" w:hAnsi="Times New Roman"/>
          <w:b w:val="false"/>
          <w:i w:val="false"/>
          <w:color w:val="000000"/>
          <w:sz w:val="22"/>
        </w:rPr>
        <w:t>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155.23(1)</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Inpatient and residential programs shall operate seven days per week, 24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155.23(2)</w:t>
      </w:r>
      <w:r>
        <w:rPr>
          <w:rFonts w:ascii="Times New Roman" w:hAnsi="Times New Roman"/>
          <w:b w:val="false"/>
          <w:i w:val="false"/>
          <w:color w:val="000000"/>
          <w:sz w:val="22"/>
        </w:rPr>
        <w:t> </w:t>
      </w:r>
      <w:r>
        <w:rPr>
          <w:rFonts w:ascii="Times New Roman" w:hAnsi="Times New Roman"/>
          <w:b w:val="false"/>
          <w:i/>
          <w:color w:val="000000"/>
          <w:sz w:val="22"/>
        </w:rPr>
        <w:t xml:space="preserve">Meals. </w:t>
      </w:r>
      <w:r>
        <w:rPr>
          <w:rFonts w:ascii="Times New Roman" w:hAnsi="Times New Roman"/>
          <w:b w:val="false"/>
          <w:i w:val="false"/>
          <w:color w:val="000000"/>
          <w:sz w:val="22"/>
        </w:rPr>
        <w:t>Inpatient and residential programs shall provide a minimum of three meals per day to each patient. A program where patients are not present during mealtime shall make provisions to make available the necessary meals. Menus shall be prepared in consultation with a dietitian. If patients are allowed to prepare meals, the program shall document conformity with all commonly accepted policies and procedures of state health rules and regulations and food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155.23(3)</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counsel. </w:t>
      </w:r>
      <w:r>
        <w:rPr>
          <w:rFonts w:ascii="Times New Roman" w:hAnsi="Times New Roman"/>
          <w:b w:val="false"/>
          <w:i w:val="false"/>
          <w:color w:val="000000"/>
          <w:sz w:val="22"/>
        </w:rPr>
        <w:t>Patients shall have opportunity for and access to consultation with legal counsel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155.23(4)</w:t>
      </w:r>
      <w:r>
        <w:rPr>
          <w:rFonts w:ascii="Times New Roman" w:hAnsi="Times New Roman"/>
          <w:b w:val="false"/>
          <w:i w:val="false"/>
          <w:color w:val="000000"/>
          <w:sz w:val="22"/>
        </w:rPr>
        <w:t> </w:t>
      </w:r>
      <w:r>
        <w:rPr>
          <w:rFonts w:ascii="Times New Roman" w:hAnsi="Times New Roman"/>
          <w:b w:val="false"/>
          <w:i/>
          <w:color w:val="000000"/>
          <w:sz w:val="22"/>
        </w:rPr>
        <w:t xml:space="preserve">Visitation with family and friends.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for continuing contact with family and friends. If such contact is clinically contraindicated, it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visiting hours, which shall be conspicuously displayed at the facility in such a manner to be visible to those entering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155.23(5)</w:t>
      </w:r>
      <w:r>
        <w:rPr>
          <w:rFonts w:ascii="Times New Roman" w:hAnsi="Times New Roman"/>
          <w:b w:val="false"/>
          <w:i w:val="false"/>
          <w:color w:val="000000"/>
          <w:sz w:val="22"/>
        </w:rPr>
        <w:t> </w:t>
      </w:r>
      <w:r>
        <w:rPr>
          <w:rFonts w:ascii="Times New Roman" w:hAnsi="Times New Roman"/>
          <w:b w:val="false"/>
          <w:i/>
          <w:color w:val="000000"/>
          <w:sz w:val="22"/>
        </w:rPr>
        <w:t xml:space="preserve">Telephone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to conduct private telephone conversations. If such conversations are clinically contraindicated, they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telephone hours. Emergency telephone conversations may be received at the time of the call or made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155.23(6)</w:t>
      </w:r>
      <w:r>
        <w:rPr>
          <w:rFonts w:ascii="Times New Roman" w:hAnsi="Times New Roman"/>
          <w:b w:val="false"/>
          <w:i w:val="false"/>
          <w:color w:val="000000"/>
          <w:sz w:val="22"/>
        </w:rPr>
        <w:t> </w:t>
      </w:r>
      <w:r>
        <w:rPr>
          <w:rFonts w:ascii="Times New Roman" w:hAnsi="Times New Roman"/>
          <w:b w:val="false"/>
          <w:i/>
          <w:color w:val="000000"/>
          <w:sz w:val="22"/>
        </w:rPr>
        <w:t xml:space="preserve">Written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to conduct private written communications. If such communications are clinically contraindicated, they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access to written communications. The program shall not intercept, read, or censor the U.S.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155.23(7)</w:t>
      </w: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Inpatient and residential program facilities shall be appropriate for 24-hour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bedrooms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sturdily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clean mattress protected with a clean mattress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designated space for personal possessions and for hanging clothing in proximity to the sleeping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Curtains or window blinds on any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Sleeping areas shall include doors for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Sleeping areas shall include partitioning or placement of furniture to provide privacy for all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patients in a room shall be appropriate to the goals of the facility and to the ages, developmental levels, and clinical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will be allowed to keep and display personal belongings and add personal touches to the decoration of their rooms in accordance with program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shall respect the patient’s right to privacy by knocking on the door of the patient’s room before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linen, towels and washcloths shall be available minimally on a weekly basis and more often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Bathrooms.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Bathrooms shall provide the facilities necessary for patients’ personal hygiene and personal privacy,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safe supply of hot and cold running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Clean towels, electric hand dryers or paper towel dispensers, toilet paper and soap;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Natural or mechanical ventilation capable of removing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Tubs or showers that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Partitions with doors that provide privacy if a bathroom has multiple toilet stools;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that shall at all times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ratio of bathroom facilities to inpatient and residential patients shall be one tub or shower head per 12 patients, one wash basin per 12 patients and one toilet per 8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is coeducational, the program shall designate and so identify separate bathrooms for male and female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written plan to be followed in the event of fire or tornado shall be conspicuously displayed on each floor or in each area that patients, concerned persons, staff or visitors occupy at the facility and shall be explained to all inpatient and residential patients as a part of their orientation to the program. Fire drills shall be conducted at least monthly, and tornado drills shall be conducted monthly from April through October.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reports of annual inspections by state or local fire safety officials or private fire protection companies approved by the department shall be maintained with records of corrective action taken by the program based on recommendations articulated in such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an adequate water supply from an approved source. A municipal water system shall meet this requirement. Private water sources shall be tested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allow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Areas in which a patient may be alone when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Areas for private conversations with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Articles of grooming and personal hygiene that are appropriate to the patient’s age, developmental level, and clinical state shall be readily available in a space reserved near the patient’s sleeping area. If access to such articles is clinically contraindicated as approved by the treatment supervisor, a patient’s personal articles may be kept under lock and key by staff. Staff shall explain to the patient the conditions under which the articles may be used. Justification for this restriction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patients maintain their own living quarters or perform day-to-day housekeeping activities, these responsibilities shall be clearly defined in writing and be a part of the patient orientation program. Staff assistance and equipment shall be provided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Patients shall be allowed to wear their own clothing in accordance with program rules. If clothing is provided by programs, it shall be suited to the climate and appropriate. A laundry room shall be accessible so patients may wash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the use and location of noise-producing equipment and appliances, such as television sets, radios, computers, and CD players, do not interfere with clinical and therapeutic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recreation and outdoor activities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155.23(8)</w:t>
      </w:r>
      <w:r>
        <w:rPr>
          <w:rFonts w:ascii="Times New Roman" w:hAnsi="Times New Roman"/>
          <w:b w:val="false"/>
          <w:i w:val="false"/>
          <w:color w:val="000000"/>
          <w:sz w:val="22"/>
        </w:rPr>
        <w:t> </w:t>
      </w:r>
      <w:r>
        <w:rPr>
          <w:rFonts w:ascii="Times New Roman" w:hAnsi="Times New Roman"/>
          <w:b w:val="false"/>
          <w:i/>
          <w:color w:val="000000"/>
          <w:sz w:val="22"/>
        </w:rPr>
        <w:t xml:space="preserve">Religion-culture. </w:t>
      </w:r>
      <w:r>
        <w:rPr>
          <w:rFonts w:ascii="Times New Roman" w:hAnsi="Times New Roman"/>
          <w:b w:val="false"/>
          <w:i w:val="false"/>
          <w:color w:val="000000"/>
          <w:sz w:val="22"/>
        </w:rPr>
        <w:t xml:space="preserve">Program policies and procedures shall include a written description of any religious orientation, religious practice, or religious restrictions. For juvenile patients, this description shall be provided to the patient, parent(s) or guardian, and placing agency at the time of admission in compliance with HIPAA as amended to August 1, 2025, and U.S. Department of Health and Human Services (DHHS),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 regulations on the confidentiality of alcohol and drug abuse patient records. For adult patients, this information shall be available during orientation. The patient shall have the opportunity to participate in religious activities and services in accordance with the patient’s faith or that of a patient’s parent(s) or guardian if the patient is a minor. The program shall, when necessary and reasonable, arrange transportation to religious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641—155.24</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inpatient and residential programs licensed to provide services to juveniles. </w:t>
      </w:r>
      <w:r>
        <w:rPr>
          <w:rFonts w:ascii="Times New Roman" w:hAnsi="Times New Roman"/>
          <w:b w:val="false"/>
          <w:i w:val="false"/>
          <w:color w:val="000000"/>
          <w:sz w:val="22"/>
        </w:rPr>
        <w:t>Inpatient and residential programs that provide services to juveniles under the age of 18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155.24(1)</w:t>
      </w:r>
      <w:r>
        <w:rPr>
          <w:rFonts w:ascii="Times New Roman" w:hAnsi="Times New Roman"/>
          <w:b w:val="false"/>
          <w:i w:val="false"/>
          <w:color w:val="000000"/>
          <w:sz w:val="22"/>
        </w:rPr>
        <w:t> </w:t>
      </w:r>
      <w:r>
        <w:rPr>
          <w:rFonts w:ascii="Times New Roman" w:hAnsi="Times New Roman"/>
          <w:b w:val="false"/>
          <w:i/>
          <w:color w:val="000000"/>
          <w:sz w:val="22"/>
        </w:rPr>
        <w:t xml:space="preserve">Personal possessions. </w:t>
      </w:r>
      <w:r>
        <w:rPr>
          <w:rFonts w:ascii="Times New Roman" w:hAnsi="Times New Roman"/>
          <w:b w:val="false"/>
          <w:i w:val="false"/>
          <w:color w:val="000000"/>
          <w:sz w:val="22"/>
        </w:rPr>
        <w:t>A program shall allow a patient to bring personal belongings. The program may limit or supervise the use of these items. The program shall ensure that each patient has adequate, clean, well-fitting, attractive, and seasonable clothing as required for health, comfort, and physical well-being. The clothes should be appropriate to the patient’s individual needs, age, and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155.24(2)</w:t>
      </w:r>
      <w:r>
        <w:rPr>
          <w:rFonts w:ascii="Times New Roman" w:hAnsi="Times New Roman"/>
          <w:b w:val="false"/>
          <w:i w:val="false"/>
          <w:color w:val="000000"/>
          <w:sz w:val="22"/>
        </w:rPr>
        <w:t> </w:t>
      </w:r>
      <w:r>
        <w:rPr>
          <w:rFonts w:ascii="Times New Roman" w:hAnsi="Times New Roman"/>
          <w:b w:val="false"/>
          <w:i/>
          <w:color w:val="000000"/>
          <w:sz w:val="22"/>
        </w:rPr>
        <w:t xml:space="preserve">Family involvement. </w:t>
      </w:r>
      <w:r>
        <w:rPr>
          <w:rFonts w:ascii="Times New Roman" w:hAnsi="Times New Roman"/>
          <w:b w:val="false"/>
          <w:i w:val="false"/>
          <w:color w:val="000000"/>
          <w:sz w:val="22"/>
        </w:rPr>
        <w:t>The program shall encourage family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155.24(3)</w:t>
      </w:r>
      <w:r>
        <w:rPr>
          <w:rFonts w:ascii="Times New Roman" w:hAnsi="Times New Roman"/>
          <w:b w:val="false"/>
          <w:i w:val="false"/>
          <w:color w:val="000000"/>
          <w:sz w:val="22"/>
        </w:rPr>
        <w:t> </w:t>
      </w:r>
      <w:r>
        <w:rPr>
          <w:rFonts w:ascii="Times New Roman" w:hAnsi="Times New Roman"/>
          <w:b w:val="false"/>
          <w:i/>
          <w:color w:val="000000"/>
          <w:sz w:val="22"/>
        </w:rPr>
        <w:t xml:space="preserve">Money. </w:t>
      </w:r>
      <w:r>
        <w:rPr>
          <w:rFonts w:ascii="Times New Roman" w:hAnsi="Times New Roman"/>
          <w:b w:val="false"/>
          <w:i w:val="false"/>
          <w:color w:val="000000"/>
          <w:sz w:val="22"/>
        </w:rPr>
        <w:t>Money earned or received as a gift or as an allowance by a patient shall be that patient’s personal property. The program shall maintain a separate accounting system for patient money and shall address the patient’s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155.24(4)</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program’s methods for control and discipline of juveniles shall be available to all staff and to the juvenile’s family. Staff shall be in control of and responsible for discipline at all times. Discipline shall not include withholding basic necessities such as food, clothing, 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prohibit staff or patients from utilizing corporal punishment as a method of disciplining or correcting patients. This policy shall be communicated in writing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written policies on behavior expectations shall be made available to the patient and the patient’s parent(s) or guardian,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expectations of behavior, including the program’s rules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range of reasonable consequences that may be used to deal with inappropriate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155.24(5)</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The program shall have staff coverage seven days per week, 24 hours per day. The number and qualifications of the staff will vary depending on the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 24-hour supervisory consultation on-call system. During prime programming time, there shall be at least a one-to-eight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Comprehensive residential facilities, as defined in </w:t>
      </w:r>
      <w:hyperlink r:id="rId71">
        <w:r>
          <w:rPr>
            <w:rStyle w:val="Hyperlink"/>
            <w:rFonts w:ascii="Times New Roman" w:hAnsi="Times New Roman"/>
            <w:b w:val="false"/>
            <w:i w:val="false"/>
            <w:color w:val="000000"/>
            <w:sz w:val="22"/>
          </w:rPr>
          <w:t>441—Chapter 115</w:t>
        </w:r>
      </w:hyperlink>
      <w:r>
        <w:rPr>
          <w:rFonts w:ascii="Times New Roman" w:hAnsi="Times New Roman"/>
          <w:b w:val="false"/>
          <w:i w:val="false"/>
          <w:color w:val="000000"/>
          <w:sz w:val="22"/>
        </w:rPr>
        <w:t>, shall have at least a one-to-five staff-to-patient ratio during prime programming time. A staff person shall be in each living unit at all times when juveniles are in residence, and there shall be a minimum of three nighttime checks between the hours of 12 midnight and 6 a.m. These checks shall be logged. The program’s policies and procedures shall address nighttime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define its prime programming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155.24(6)</w:t>
      </w:r>
      <w:r>
        <w:rPr>
          <w:rFonts w:ascii="Times New Roman" w:hAnsi="Times New Roman"/>
          <w:b w:val="false"/>
          <w:i w:val="false"/>
          <w:color w:val="000000"/>
          <w:sz w:val="22"/>
        </w:rPr>
        <w:t> </w:t>
      </w:r>
      <w:r>
        <w:rPr>
          <w:rFonts w:ascii="Times New Roman" w:hAnsi="Times New Roman"/>
          <w:b w:val="false"/>
          <w:i/>
          <w:color w:val="000000"/>
          <w:sz w:val="22"/>
        </w:rPr>
        <w:t xml:space="preserve">Illness, accident, death, or absence from the inpatient or residential program. </w:t>
      </w:r>
      <w:r>
        <w:rPr>
          <w:rFonts w:ascii="Times New Roman" w:hAnsi="Times New Roman"/>
          <w:b w:val="false"/>
          <w:i w:val="false"/>
          <w:color w:val="000000"/>
          <w:sz w:val="22"/>
        </w:rPr>
        <w:t xml:space="preserve">The program shall notify the patient’s parent(s), guardian, and responsible agency of any serious illness, incident involving serious bodily injury, absence, or removal of the juvenile from the facility in compliance with HIPAA as amended to August 1, 2025, and DHHS,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 regulations on the confidentiality of alcohol and drug abuse patient records. In the event of the death of a patient, the program shall immediately notify the prescriber, the patient’s parent(s) or guardian, the placing agency, and the appropriate state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155.24(7)</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services. </w:t>
      </w:r>
      <w:r>
        <w:rPr>
          <w:rFonts w:ascii="Times New Roman" w:hAnsi="Times New Roman"/>
          <w:b w:val="false"/>
          <w:i w:val="false"/>
          <w:color w:val="000000"/>
          <w:sz w:val="22"/>
        </w:rPr>
        <w:t>The program’s educational program shall meet the requirements of the department of education and shall be available for each patient in accordance with abilities and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641—155.25</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substance use assessment and OWI evaluation-only programs. </w:t>
      </w:r>
      <w:r>
        <w:rPr>
          <w:rFonts w:ascii="Times New Roman" w:hAnsi="Times New Roman"/>
          <w:b w:val="false"/>
          <w:i w:val="false"/>
          <w:color w:val="000000"/>
          <w:sz w:val="22"/>
        </w:rPr>
        <w:t>Programs that provide substance use assessment and OWI evaluation-only services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conducting OWI evaluations on persons convicted of operating a motor vehicle while intoxicated (OWI) pursuant to Iowa Code section </w:t>
      </w:r>
      <w:hyperlink r:id="rId72">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and on persons whose driver’s license or nonresident operating privileges are revoked under Iowa Code chapter </w:t>
      </w:r>
      <w:hyperlink r:id="rId7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shall do so in accordance with </w:t>
      </w:r>
      <w:hyperlink r:id="rId74">
        <w:r>
          <w:rPr>
            <w:rStyle w:val="Hyperlink"/>
            <w:rFonts w:ascii="Times New Roman" w:hAnsi="Times New Roman"/>
            <w:b w:val="false"/>
            <w:i w:val="false"/>
            <w:color w:val="000000"/>
            <w:sz w:val="22"/>
          </w:rPr>
          <w:t>641—Chapter 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155.25(2)</w:t>
      </w:r>
      <w:r>
        <w:rPr>
          <w:rFonts w:ascii="Times New Roman" w:hAnsi="Times New Roman"/>
          <w:b w:val="false"/>
          <w:i w:val="false"/>
          <w:color w:val="000000"/>
          <w:sz w:val="22"/>
        </w:rPr>
        <w:t> </w:t>
      </w:r>
      <w:r>
        <w:rPr>
          <w:rFonts w:ascii="Times New Roman" w:hAnsi="Times New Roman"/>
          <w:b w:val="false"/>
          <w:i w:val="false"/>
          <w:color w:val="000000"/>
          <w:sz w:val="22"/>
        </w:rPr>
        <w:t>The program shall make its fees public and shall inform potential patients of the fee at the time the assessment or evaluation is scheduled.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641—155.26</w:t>
      </w:r>
      <w:r>
        <w:rPr>
          <w:rFonts w:ascii="Times New Roman" w:hAnsi="Times New Roman"/>
          <w:b w:val="false"/>
          <w:i w:val="false"/>
          <w:color w:val="000000"/>
          <w:sz w:val="22"/>
        </w:rPr>
        <w:t xml:space="preserve"> to </w:t>
      </w:r>
      <w:r>
        <w:rPr>
          <w:rFonts w:ascii="Times New Roman" w:hAnsi="Times New Roman"/>
          <w:b/>
          <w:i w:val="false"/>
          <w:color w:val="000000"/>
          <w:sz w:val="22"/>
        </w:rPr>
        <w:t>155.33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641—155.34</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enhanced treatment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155.34(1)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Substance use disorder and problem gambling treatment programs licensed to provide enhanced treatment services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155.34(2)</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 xml:space="preserve">The program shall meet the requirements in subrule </w:t>
      </w:r>
      <w:hyperlink r:id="rId75">
        <w:r>
          <w:rPr>
            <w:rStyle w:val="Hyperlink"/>
            <w:rFonts w:ascii="Times New Roman" w:hAnsi="Times New Roman"/>
            <w:b w:val="false"/>
            <w:i w:val="false"/>
            <w:color w:val="000000"/>
            <w:sz w:val="22"/>
          </w:rPr>
          <w:t>155.21(8)</w:t>
        </w:r>
      </w:hyperlink>
      <w:r>
        <w:rPr>
          <w:rFonts w:ascii="Times New Roman" w:hAnsi="Times New Roman"/>
          <w:b w:val="false"/>
          <w:i w:val="false"/>
          <w:color w:val="000000"/>
          <w:sz w:val="22"/>
        </w:rPr>
        <w: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 job descriptions for positions that provide prevention services for substance use disorders and problem gambling, treatment for substance use disorders and problem gambling, services for medical conditions, and services for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staff on site who are qualified to provide prevention and early intervention services for substance use disorders and problem gambling, treatment for substance use disorders and problem gambling, services for medical conditions, and services for mental health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641—155.35</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opioid treatment programs. </w:t>
      </w:r>
      <w:r>
        <w:rPr>
          <w:rFonts w:ascii="Times New Roman" w:hAnsi="Times New Roman"/>
          <w:b w:val="false"/>
          <w:i w:val="false"/>
          <w:color w:val="000000"/>
          <w:sz w:val="22"/>
        </w:rPr>
        <w:t xml:space="preserve">All programs that use methadone or other medications approved by the Food and Drug Administration under </w:t>
      </w:r>
      <w:r>
        <w:rPr>
          <w:rFonts w:ascii="Times New Roman" w:hAnsi="Times New Roman"/>
          <w:b w:val="false"/>
          <w:i w:val="false"/>
          <w:color w:val="000000"/>
          <w:sz w:val="22"/>
        </w:rPr>
        <w:t>Section 505 of the Federal Food, Drug, and Cosmetic Act</w:t>
      </w:r>
      <w:r>
        <w:rPr>
          <w:rFonts w:ascii="Times New Roman" w:hAnsi="Times New Roman"/>
          <w:b w:val="false"/>
          <w:i w:val="false"/>
          <w:color w:val="000000"/>
          <w:sz w:val="22"/>
        </w:rPr>
        <w:t xml:space="preserve"> (</w:t>
      </w:r>
      <w:r>
        <w:rPr>
          <w:rFonts w:ascii="Times New Roman" w:hAnsi="Times New Roman"/>
          <w:b w:val="false"/>
          <w:i w:val="false"/>
          <w:color w:val="000000"/>
          <w:sz w:val="22"/>
        </w:rPr>
        <w:t>21 U.S.C. 355</w:t>
      </w:r>
      <w:r>
        <w:rPr>
          <w:rFonts w:ascii="Times New Roman" w:hAnsi="Times New Roman"/>
          <w:b w:val="false"/>
          <w:i w:val="false"/>
          <w:color w:val="000000"/>
          <w:sz w:val="22"/>
        </w:rPr>
        <w:t xml:space="preserve"> as amended to August 1, 2025) and by the state of Iowa for use in the treatment of opioid addiction shall comply with this rule; HIPAA, as amended to August 1, 2025; and Part II, DHHS, Substance Abuse and Mental Health Services Administration, </w:t>
      </w:r>
      <w:r>
        <w:rPr>
          <w:rFonts w:ascii="Times New Roman" w:hAnsi="Times New Roman"/>
          <w:b w:val="false"/>
          <w:i w:val="false"/>
          <w:color w:val="000000"/>
          <w:sz w:val="22"/>
        </w:rPr>
        <w:t>42 CFR Part 8</w:t>
      </w:r>
      <w:r>
        <w:rPr>
          <w:rFonts w:ascii="Times New Roman" w:hAnsi="Times New Roman"/>
          <w:b w:val="false"/>
          <w:i w:val="false"/>
          <w:color w:val="000000"/>
          <w:sz w:val="22"/>
        </w:rPr>
        <w:t>, Opioid Drugs in Maintenance and Detoxification Treatment of Opioid Addiction, effective February 2, 2024,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w:t>
      </w:r>
      <w:r>
        <w:rPr>
          <w:rFonts w:ascii="Times New Roman" w:hAnsi="Times New Roman"/>
          <w:b w:val="false"/>
          <w:i w:val="false"/>
          <w:color w:val="000000"/>
          <w:sz w:val="22"/>
        </w:rPr>
        <w:t> </w:t>
      </w:r>
      <w:r>
        <w:rPr>
          <w:rFonts w:ascii="Times New Roman" w:hAnsi="Times New Roman"/>
          <w:b w:val="false"/>
          <w:i/>
          <w:color w:val="000000"/>
          <w:sz w:val="22"/>
        </w:rPr>
        <w:t xml:space="preserve">Required approvals. </w:t>
      </w:r>
      <w:r>
        <w:rPr>
          <w:rFonts w:ascii="Times New Roman" w:hAnsi="Times New Roman"/>
          <w:b w:val="false"/>
          <w:i w:val="false"/>
          <w:color w:val="000000"/>
          <w:sz w:val="22"/>
        </w:rPr>
        <w:t>All opioid treatment programs shall be licensed or approved by the department and shall maintain all other approvals required by the federal Drug Enforcement Administration, SAMHSA and the Iowa board of pharmacy in order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155.35(2)</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system. </w:t>
      </w:r>
      <w:r>
        <w:rPr>
          <w:rFonts w:ascii="Times New Roman" w:hAnsi="Times New Roman"/>
          <w:b w:val="false"/>
          <w:i w:val="false"/>
          <w:color w:val="000000"/>
          <w:sz w:val="22"/>
        </w:rPr>
        <w:t>To prevent simultaneous enrollment of a patient in more than one program, all opioid treatment programs shall participate in a central registry as established by the department.</w:t>
      </w:r>
    </w:p>
    <w:p>
      <w:pPr>
        <w:spacing w:before="0" w:after="0"/>
        <w:ind w:left="120"/>
        <w:jc w:val="both"/>
      </w:pPr>
      <w:r>
        <w:rPr>
          <w:rFonts w:ascii="Times New Roman" w:hAnsi="Times New Roman"/>
          <w:b w:val="false"/>
          <w:i w:val="false"/>
          <w:color w:val="000000"/>
          <w:sz w:val="22"/>
        </w:rPr>
        <w:t xml:space="preserve">Prior to admission of an applicant to an opioid treatment program, the program shall submit to the registry the applicant’s name, birth date, and date of intended admission, and any other information required for the clearance procedure. No person shall be admitted to a program who is found by the registry to be participating in another such program. All opioid treatment programs shall report all admissions, discharges, and transfers to the registry immediately. All information reported to the registry from the programs and all information reported to the programs from the registry shall be treated as confidential in accordance with HIPAA as amended to August 1, 2025, and regulations on the confidentiality of alcohol and drug abuse patient records, DHHS,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“Central registry”</w:t>
      </w:r>
      <w:r>
        <w:rPr>
          <w:rFonts w:ascii="Times New Roman" w:hAnsi="Times New Roman"/>
          <w:b w:val="false"/>
          <w:i w:val="false"/>
          <w:color w:val="000000"/>
          <w:sz w:val="22"/>
        </w:rPr>
        <w:t> </w:t>
      </w:r>
      <w:r>
        <w:rPr>
          <w:rFonts w:ascii="Times New Roman" w:hAnsi="Times New Roman"/>
          <w:b w:val="false"/>
          <w:i w:val="false"/>
          <w:color w:val="000000"/>
          <w:sz w:val="22"/>
        </w:rPr>
        <w:t>means the system through which the department obtains patient identifying information about individuals applying for maintenance treatment for the purpose of preventing an individual’s concurrent enrollment in more than one such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 treatment program”</w:t>
      </w:r>
      <w:r>
        <w:rPr>
          <w:rFonts w:ascii="Times New Roman" w:hAnsi="Times New Roman"/>
          <w:b w:val="false"/>
          <w:i w:val="false"/>
          <w:color w:val="000000"/>
          <w:sz w:val="22"/>
        </w:rPr>
        <w:t> </w:t>
      </w:r>
      <w:r>
        <w:rPr>
          <w:rFonts w:ascii="Times New Roman" w:hAnsi="Times New Roman"/>
          <w:b w:val="false"/>
          <w:i w:val="false"/>
          <w:color w:val="000000"/>
          <w:sz w:val="22"/>
        </w:rPr>
        <w:t>means a withdrawal management or maintenance treatment program that is required to report patient identifying information to the central registry and that is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program may disclose patient identifying information to a central registry for the purpose of preventing the multiple enrollment of a patient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disclosure is made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patient is admitted for treatment;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treatment is interrupted, resumed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disclosure is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Patient identifying information;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Relevant dates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shall inform the patient of the required disclosure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information limited to prevention of multiple enrollments. </w:t>
      </w:r>
      <w:r>
        <w:rPr>
          <w:rFonts w:ascii="Times New Roman" w:hAnsi="Times New Roman"/>
          <w:b w:val="false"/>
          <w:i w:val="false"/>
          <w:color w:val="000000"/>
          <w:sz w:val="22"/>
        </w:rPr>
        <w:t xml:space="preserve">Any information disclosed to the central registry to prevent multiple enrollments shall not be redisclosed by the registry nor shall such information be used for any other purpose than the prevention of multiple enrollments unless so authorized by court order in accordance with HIPAA as amended to August 1, 2025, and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Permitted disclosure by the central registry to prevent a multiple enrollment. </w:t>
      </w:r>
      <w:r>
        <w:rPr>
          <w:rFonts w:ascii="Times New Roman" w:hAnsi="Times New Roman"/>
          <w:b w:val="false"/>
          <w:i w:val="false"/>
          <w:color w:val="000000"/>
          <w:sz w:val="22"/>
        </w:rPr>
        <w:t>If a program petitions the central registry and an identified patient is enrolled in another program, the registry may disclose: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program in which the patient is currently enrolled to the inquiring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inquiring program to the program in which the patient is currently enrolled. The programs may communicate as necessary to verify that no error has been made and to prevent or eliminate any multiple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155.35(3)</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or at the time of a patient’s admission to an opioid treatment program, the program shall conduct a comprehensive assessment so as to determine appropriateness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verify, to the extent possible, the patient’s name, address,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OTP shall maintain current procedures designed to ensure that patients are admitted to treatment by qualified personnel who have determined, using accepted medical criteria,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meets diagnostic criteria for a moderate to severe OUD;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an active moderate to severe OUD, or OUD in remission, or is at high risk for recurrence or overdose.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decisions must be appropriately documented in the patient's clinical record. In addition, a health care practitioner shall ensure that each patient voluntarily chooses treatment with MOUD, that all relevant facts concerning the use of MOUD are clearly and adequately explained to the patient, and that each patient provides informed consent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physiological addiction cannot be clearly documented, the program physician or an appropriately trained staff member designated and supervised by the physician shall record in the patient’s record the criteria used to determine the patient’s current physiologic dependence and history of addiction. In the latter circumstance, the program physician shall review, date, and countersign the supervised staff member’s evaluation to demonstrate the physician’s agreement with the evaluation. The program physician shall make the final determination concerning a patient’s physiologic dependence and history of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patient has voluntarily left an opioid treatment program in good standing and seeks readmission within two years of discharge, the program shall document the following information about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opioid treatment of six months or more;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in the physician’s medical judgment, treatment of the patient is warranted. Such documentation shall be entered in the patient’s record by the program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collect a drug screening sample for analysis. Where dependence is substantially verified through other indicators, a negative drug screen will not necessarily preclude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a patient’s admission, the program shall confirm with the central registry that the patient is not currently enrolled in another opioid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potential patient has previously been enrolled in another program, the admitting program shall request from the previous program a copy of the patient’s assessment data, treatment plan, and discharge summary including the type of or reason for discharge. All programs subject to these rules shall promptly respond to such a request upon receipt of a valid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person under the age of 18 is required to have had two documented attempts at short-term withdrawal management or drug-free treatment to be eligible for maintenance treatment. A one-week waiting period is required after such a short-term withdrawal management attempt, however, before an attempt is repeated. The program physician shall document in the patient’s record that the patient continues to be, or is again, physiologically dependent on narcotic drugs. No person under 18 years of age may be admitted to OTP treatment unless a parent, legal guardian, or responsible adult designated by the relevant state authority consents in writing to such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Program staff shall ensure that a patient is voluntarily participating in the program, and the patient shall sign a Consent to Treatment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Pregnant patients may be admitted to opioid treatment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of current physiological dependency is not needed if the program physician certifies the pregnancy and, in the physician’s reasonable judgment, finds treatment to be justified. Documentation of all findings and justifications for admission shall be documented in the patient’s record by the program physician prior to the administration of the initial dose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patients shall be offered comprehensive prenatal care. If the program cannot provide prenatal services, the program shall assist the patient in obtaining such services and shall coordinate ongoing care with the collateral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document that the patient has been informed of the possible risks to the unborn child from the use of medication and the risks of continued use of illicit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a program have a waiting list for admission to the program, pregnant patients shall be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155.35(4)</w:t>
      </w:r>
      <w:r>
        <w:rPr>
          <w:rFonts w:ascii="Times New Roman" w:hAnsi="Times New Roman"/>
          <w:b w:val="false"/>
          <w:i w:val="false"/>
          <w:color w:val="000000"/>
          <w:sz w:val="22"/>
        </w:rPr>
        <w:t> </w:t>
      </w:r>
      <w:r>
        <w:rPr>
          <w:rFonts w:ascii="Times New Roman" w:hAnsi="Times New Roman"/>
          <w:b w:val="false"/>
          <w:i/>
          <w:color w:val="000000"/>
          <w:sz w:val="22"/>
        </w:rPr>
        <w:t xml:space="preserve">Placement, admission and assessment. </w:t>
      </w:r>
      <w:r>
        <w:rPr>
          <w:rFonts w:ascii="Times New Roman" w:hAnsi="Times New Roman"/>
          <w:b w:val="false"/>
          <w:i w:val="false"/>
          <w:color w:val="000000"/>
          <w:sz w:val="22"/>
        </w:rPr>
        <w:t>The program shall have written criteria for considering an individual for placement and admission. In addition, the program shall maintain current procedures to ensure that patients are admitted to maintenance treatment by qualified staff who have determined by using accepted medical criteria, such as those outlined 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require each patient to undergo an initial medical examination. The initial medical examination is comprised of two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screening examination to ensure that the patient meets criteria for admission and that there are no contraindications to treatment with MOUD;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full history and examination to determine the patient’s broader health status, with lab testing as determined to be required by an appropriately licensed practitioner. A patient’s refusal to undergo lab testing for co-occurring physical health conditions should not preclude the patient from access to treatment, provided such refusal does not have potential to negatively impact treatment with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Assuming there are no contraindications, a patient may commence treatment with MOUD after the screening examination has been completed. Both the screening examination and full examination must be completed by an appropriately licensed practitioner. If the licensed practitioner is not an OTP practitioner, the screening examination must be completed no more than seven days prior to OTP admission. Where the examination is performed outside of the OTP, the written results and narrative of the examination, as well as available lab testing results, must be transmitted, consistent with applicable privacy laws, to the OTP and verified by an OTP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in-person physical examination, including the results of serology and other tests that are considered to be clinically appropriate, must be completed within 14 calendar days following a patient’s admission to the OTP. The full examination can be completed by a non-OTP practitioner if the examination is verified by a licensed OTP practitioner as being true and accurate and transmitted in accordance with applicable privacy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Serology testing and other testing as deemed medically appropriate by the licensed OTP practitioner based on the screening or full history and examination, drawn not more than 30 days prior to admission to the OTP, may form part of the full history and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screening and full examination may be completed via telehealth for those patients being admitted for treatment at the OTP with either buprenorphine or methadone if a practitioner or primary care provider determines that an adequate evaluation of the patient can be accomplished via telehealth. When using telehealth, the following caveats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evaluating patients for treatment with Schedule II medications (such as methadone), audiovisual telehealth platforms must be used, except when not available to the patient, in which case, it is acceptable to use audio-only devices but only when the patient is in the presence of a licensed practitioner who is registered to prescribe (including dispense) controlled medications. The OTP practitioner shall review the examination results and order treatment medications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evaluating patients for treatment with Schedule III medications or medications not classified as a controlled medication, audiovisual or audio-only platforms may be used. The OTP practitioner shall review the examination results and order treatment medications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medical evaluation of the patient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assessment of the patient’s current psychological and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physical examination, including examination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Pulmonary, liver, or cardiac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Infectious disease;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Dermatologic sequela of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Laboratory tests,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Serological test for syphilis;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Urine screening for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intradermal PPD (tuberculosis skin test) and review of tetanus immunization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indicated, an EKG, chest X-ray, pap smear, pregnancy test, sickle cell screening, complete blood count and white cell differential, multiphasic chemistry profile, routine and microscopic urinalysis, or other tests indicated by the patient’s condition. A patient’s refusal to undergo lab testing for co-occurring physical health conditions should not preclude the patient from access to treatment, provided such refusal does not have potential to negatively impact treatment with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155.35(5)</w:t>
      </w:r>
      <w:r>
        <w:rPr>
          <w:rFonts w:ascii="Times New Roman" w:hAnsi="Times New Roman"/>
          <w:b w:val="false"/>
          <w:i w:val="false"/>
          <w:color w:val="000000"/>
          <w:sz w:val="22"/>
        </w:rPr>
        <w:t> </w:t>
      </w:r>
      <w:r>
        <w:rPr>
          <w:rFonts w:ascii="Times New Roman" w:hAnsi="Times New Roman"/>
          <w:b w:val="false"/>
          <w:i/>
          <w:color w:val="000000"/>
          <w:sz w:val="22"/>
        </w:rPr>
        <w:t xml:space="preserve">Treatment plans. </w:t>
      </w:r>
      <w:r>
        <w:rPr>
          <w:rFonts w:ascii="Times New Roman" w:hAnsi="Times New Roman"/>
          <w:b w:val="false"/>
          <w:i w:val="false"/>
          <w:color w:val="000000"/>
          <w:sz w:val="22"/>
        </w:rPr>
        <w:t>Based upon the initial assessment, an individualized written treatment plan shall be developed and recorded in the patient’s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treatment plan shall be developed and shall delineate the patient’s immediate needs and the actions required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be developed as soon after the patient’s admission as is clinically feasible but no later than 30 days following the patient’s admission to an outpatient opioid maintenance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plans shall be developed in partnership with the patient. Comprehensive treatment plans shall be reviewed by the primary counselor and the patient as often as necessary but no less than every 90 days during the first year and semiannually each subsequent year for opioid treatment modalities. Treatment plans shall be reviewed by the program physician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155.35(6)</w:t>
      </w:r>
      <w:r>
        <w:rPr>
          <w:rFonts w:ascii="Times New Roman" w:hAnsi="Times New Roman"/>
          <w:b w:val="false"/>
          <w:i w:val="false"/>
          <w:color w:val="000000"/>
          <w:sz w:val="22"/>
        </w:rPr>
        <w:t> </w:t>
      </w:r>
      <w:r>
        <w:rPr>
          <w:rFonts w:ascii="Times New Roman" w:hAnsi="Times New Roman"/>
          <w:b w:val="false"/>
          <w:i/>
          <w:color w:val="000000"/>
          <w:sz w:val="22"/>
        </w:rPr>
        <w:t xml:space="preserve">Rehabilitative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OTPs must provide adequate substance use disorder counseling and psychoeducation to each patient as clinically necessary and mutually agreed upon, including harm reduction education and recovery-oriented counseling. This counseling shall be provided by a program counselor, qualified by education, training, or experience to assess the psychological and sociological background of patients and engage with patients, to contribute to the appropriate care plan for the patient and to monitor and update patient progress. Patient refusal of counseling shall not preclude the patient from receiving MOUD.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OTPs must provide counseling on preventing exposure to, and the transmission of, human immunodeficiency virus (HIV), viral hepatitis, and sexually transmitted infections (STIs) and either directly provide services and treatments or actively link to treatment each patient admitted or readmitted to treatment who has received positive test results for these conditions from an initial or periodic medical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OTPs must provide directly, or through referral to adequate and reasonably accessible community resources, vocational training, education, and employment services for patients who request such services or for whom these needs have been identified and mutually agreed upon as beneficial by the patient and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155.35(7)</w:t>
      </w: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determine the patient’s initial and subsequent dose of medication and on-site dosing schedule and shall assume responsibility for the amount of the narcotic drug administered or dispensed and shall record, date, and sign in each patient’s case record each change in the dosage schedule. The physician shall directly communicate orders to the pharmacy or registered or licensed personnel supervising medication administration. The program physician may communicate such orders verbally; however, orders shall be reduced to writing and countersigned within 72 hours by the program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new patient enrolled in an OTP, the initial dose of methadone shall be individually determined and shall include consideration of the type(s) of opioid(s) involved in the patient's OUD, other medications or substances being taken, medical history, and severity of opioid withdrawal. The total dose for the first day should not exceed 50 milligrams unless the OTP practitioner, licensed under the appropriate state law and registered under the appropriate state and federal laws to administer or dispense MOUD, finds sufficient medical rationale, including but not limited to if the patient is transferring from another OTP on a higher dose that has been verified, and documents in the patient’s record that a higher dose was clinically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shall be administered by a professional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medication shall be administered until the patient has completed admission procedures unless the patient enters the program on a weekend and the central registry cannot be contacted. If, in the clinical judgment of the program physician, a patient is experiencing an emergency situation, the admission procedures may be completed on the following workday.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Take-home medication shall be labeled in accordance with state and federal law and have childproof caps.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medication administration log shall be kept in the dosing area and in the patient’s case record. The amount of medication administered and the signature of the staff member authorized to administer the medication shall also be included in the patient’s case record. No dose shall be administered until the patient has been positively identified and the dosage amount has been compared with the currently ordered and documented dosage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Ingestion shall be observed and verified by the staff person authorized to administer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record, date, and sign in each patient’s case record each change in the dosage schedule. Daily dosages of medications in excess of 100 milligrams shall be dispensed only with the approval of the program physician and shall be documented and justified in the patient’s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155.35(8)</w:t>
      </w:r>
      <w:r>
        <w:rPr>
          <w:rFonts w:ascii="Times New Roman" w:hAnsi="Times New Roman"/>
          <w:b w:val="false"/>
          <w:i w:val="false"/>
          <w:color w:val="000000"/>
          <w:sz w:val="22"/>
        </w:rPr>
        <w:t> </w:t>
      </w:r>
      <w:r>
        <w:rPr>
          <w:rFonts w:ascii="Times New Roman" w:hAnsi="Times New Roman"/>
          <w:b w:val="false"/>
          <w:i/>
          <w:color w:val="000000"/>
          <w:sz w:val="22"/>
        </w:rPr>
        <w:t xml:space="preserve">Take-home or unsupervised medication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Unsupervised (take-home) medication doses may be provided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patient in comprehensive treatment may receive individualized take-home doses as ordered for days that the clinic is closed for business, including one weekend day (e.g., Sunday) and state and federal holidays, no matter the patient’s length of time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OTP decisions on dispensing MOUD to patients for unsupervised use shall be determined by an appropriately licensed OTP medical practitioner or the medical director. In determining which patients may receive unsupervised medication doses, the medical director or program medical practitioner shall consider, among other pertinent factors that indicate that the therapeutic benefits of unsupervised doses outweigh the risks,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Absence of active substance use disorders, other physical or behavioral health conditions that increase the risk of patient harm as it relates to the potential for overdose, or the ability to function safely;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Regularity of attendance for supervised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of serious behavioral problems that endanger the patient, the public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Absence of known recent diversion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take-home medication can be safely transported and 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criteria that the medical director or medical practitioner considers relevant to the patient’s safety and the public’s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Such determinations and the basis for such determinations consistent with the criteria outlined shall be documented in the patient’s medical record. If it is determined that a patient is safely able to manage unsupervised doses of MOUD, the dispensing restrictions set forth in this rule apply. The dispensing restrictions set forth in this rule do not apply to buprenorphine and buprenorphine products listed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first 14 days of treatment, the take-home supply is limited to 7 days. It remains within the OTP practitioner’s discretion to determine the number of take-home doses up to seven days, but decisions must be based on the criteria listed in this rule. The rationale underlying the decision to provide unsupervised doses of methadone must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15 days of treatment, the take-home supply is limited to 14 days. It remains within the OTP practitioner’s discretion to determine the number of take-home doses up to 14 days, but this determination must be based on the criteria listed in this rule. The rationale underlying the decision to provide unsupervised doses of methadone must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From 31 days of treatment, the take-home supply provided to a patient is not to exceed 28 days. It remains within the OTP practitioner’s discretion to determine the number of take-home doses up to 28 days, but this determination must be based on the criteria listed in this subrule. The rationale underlying the decision to provide unsupervised doses of methadone must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OTPs must maintain current procedures adequate to identify the theft or diversion of take-home medications, including labeling containers with the OTP’s name, address, and telephone number. Programs also must ensure that each individual take-home dose is packaged in a manner that is designed to reduce the risk of accidental ingestion, including child-proof containers. Programs must provide education to each patient on the following: safely transporting medication from the OTP to the patient’s place of residence and the safe storage of take-home doses at the individual’s place of residence, including child and household safety precautions. The provision of this education should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patient is unable to conform to the applicable mandatory schedule, a revised schedule may be permitted provided that the program receives an exception to these rules from the department and SAMHSA, when applicable. A copy of the written exception shall be placed in the patient’s case record. The department will consider exceptions only in unusual circumstances. When a program is applying for less frequent pickups for patients, approval will be based on considerations in addition to distance if another program exists within 25 miles of the patient’s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a patient receiving take-home medication provide a drug screen that is confirmed either positive for substances or negative for the prescribed medication, the program shall ensure that, when test results are used, presumptive laboratory results are distinguished from results that are definitive.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155.35(9)</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Each program shall establish policies and procedures for the collection of drug-screening specimens and utilization of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an initial drug-screening test or analysis is completed for each prospective patient and that at least eight additional random tests or analyses are performed on each patient during the patient’s first year in maintenance treatment and that at least quarterly random tests or analyses are performed on each patient in maintenance treatment for each subsequent year. When a sample is collected from each patient for such a test or analysis, it shall be done in a manner that minimizes opportunity for falsification. Each test or analysis shall be analyzed for opioids, methadone, amphetamines, cocaine, and barbiturates. In addition, if any other drug or drugs have been determined by a program to be abused in that program’s locality, or as otherwise indicated, each test or analysis must be analyzed for any of those drugs as well. Any laboratory that performs the testing required under this rule shall be in compliance with all applicable federal proficiency testing and licensing standards and all applicable state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test results are not used as the sole criterion to force a patient out of treatment but are used as a guide to change treatment approaches. The program shall also ensure that when test results are used, presumptive laboratory results are distinguished from results that are definitive.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155.35(10)</w:t>
      </w:r>
      <w:r>
        <w:rPr>
          <w:rFonts w:ascii="Times New Roman" w:hAnsi="Times New Roman"/>
          <w:b w:val="false"/>
          <w:i w:val="false"/>
          <w:color w:val="000000"/>
          <w:sz w:val="22"/>
        </w:rPr>
        <w:t> </w:t>
      </w:r>
      <w:r>
        <w:rPr>
          <w:rFonts w:ascii="Times New Roman" w:hAnsi="Times New Roman"/>
          <w:b w:val="false"/>
          <w:i/>
          <w:color w:val="000000"/>
          <w:sz w:val="22"/>
        </w:rPr>
        <w:t xml:space="preserve">Diversion prevention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 diversion identification and prevention plan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Outlines the methods by which the program shall detect possible diversion of take-home medication;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Describes the actions to be taken when diversion is identified or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and implement proactive procedures to reduce the likelihood or possibility of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155.35(11)</w:t>
      </w:r>
      <w:r>
        <w:rPr>
          <w:rFonts w:ascii="Times New Roman" w:hAnsi="Times New Roman"/>
          <w:b w:val="false"/>
          <w:i w:val="false"/>
          <w:color w:val="000000"/>
          <w:sz w:val="22"/>
        </w:rPr>
        <w:t> </w:t>
      </w:r>
      <w:r>
        <w:rPr>
          <w:rFonts w:ascii="Times New Roman" w:hAnsi="Times New Roman"/>
          <w:b w:val="false"/>
          <w:i/>
          <w:color w:val="000000"/>
          <w:sz w:val="22"/>
        </w:rPr>
        <w:t xml:space="preserve">Interim maintenance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approved program may offer interim maintenance treatment when, due to capacity, the program cannot place the patient in a program offering comprehensive services within 14 days of the patient’s application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approved program may provide interim maintenance treatment only if the program also provides comprehensive maintenance treatment to which interim maintenance treatment patients may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maintenance treatment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a public or nonprofit private narcotic treatment program may provide interim maintenance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must receive approval of both the U.S. Food and Drug Administration and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director must certify that the program seeking such authorization is unable to place patients in a public or private nonprofit program within a reasonable geographic area within 14 days of the patient’s application for admission and that interim maintenance treatment will not reduce the capacity of the program’s comprehensive maintenance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Patients admitted to interim maintenance treatment shall be transferred to comprehensive maintenance treatment within 120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Minimum standards for interim maintenance treatment. The program may admit a patient who is eligible for comprehensive maintenance treatment to interim maintenance treatment if the patient cannot be placed in a public or private nonprofit comprehensive program within a reasonable geographic area and within 14 days of application for services. An initial drug screen and at least two other drug screens shall be taken from the patient during the maximum admission period of 120 days. A program shall establish and follow reasonable criteria for determining the transfer of patients to comprehensive maintenance treatment. These transfer criteria shall be in writing and available for inspection and shall include at a minimum a preference for the transfer of pregnant patients. Interim maintenance shall be conducted in accordance with all applicable federal regulations and state rules. The program shall notify the department when a patient begins interim treatment, when a patient leaves interim treatment, and when a patient transfers to comprehensive maintenance treatment. Such notifications shall be documented by the program in the patient’s case record. All requirements for comprehensive maintenance treatment apply to interim maintenance treatment,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medication is required to be administered daily under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Take-home medication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and comprehensive treatment plans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primary counselor is not required to be assigned to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Interim maintenance treatment cannot be provided for longer than 120 days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155.35(12)</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All opioid treatment programs shall obtain and retain accreditation by a recognized national accreditation organization. The national accreditation bodies currently recognized as meeting committee criteria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American Osteopathic Association (AOA).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TUBERCULOSIS (TB) SCREENING: HEALTH CARE WORKERS AND RESIDENTS</w:t>
      </w:r>
    </w:p>
    <w:p>
      <w:pPr>
        <w:spacing w:before="210" w:after="0"/>
        <w:ind w:left="120"/>
        <w:jc w:val="both"/>
      </w:pPr>
      <w:r>
        <w:rPr>
          <w:rFonts w:ascii="Times New Roman" w:hAnsi="Times New Roman"/>
          <w:b/>
          <w:i w:val="false"/>
          <w:color w:val="000000"/>
          <w:sz w:val="22"/>
        </w:rPr>
        <w:t>641—155.36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641—155.37</w:t>
      </w:r>
      <w:r>
        <w:rPr>
          <w:rFonts w:ascii="Times New Roman" w:hAnsi="Times New Roman"/>
          <w:b/>
          <w:i w:val="false"/>
          <w:color w:val="000000"/>
          <w:sz w:val="22"/>
        </w:rPr>
        <w:t xml:space="preserve">(125,135)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“Bacille Calmette-Guerin vaccination”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“BCG vaccination”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vaccine for tuberculosis (TB). BCG is used in many countries with a high prevalence of TB to prevent childhood tuberculosis meningitis and military disease. BCG is not generally recommended for use in the United States because of the low risk of infection with </w:t>
      </w:r>
      <w:r>
        <w:rPr>
          <w:rFonts w:ascii="Times New Roman" w:hAnsi="Times New Roman"/>
          <w:b w:val="false"/>
          <w:i/>
          <w:color w:val="000000"/>
          <w:sz w:val="22"/>
        </w:rPr>
        <w:t>Mycobacterium tuberculosis</w:t>
      </w:r>
      <w:r>
        <w:rPr>
          <w:rFonts w:ascii="Times New Roman" w:hAnsi="Times New Roman"/>
          <w:b w:val="false"/>
          <w:i w:val="false"/>
          <w:color w:val="000000"/>
          <w:sz w:val="22"/>
        </w:rPr>
        <w:t>, the variable effectiveness of the vaccine against adult pulmonary TB, and the vaccine’s potential interference with tuberculin skin test reactivity.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“Baseline TB screening”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screening of staff and residents for latent tuberculosis infection (LTBI) and TB disease at the beginning of employment or upon admission to a facility. Baseline TB screening includes a symptom screen for all staff and residents and tuberculin skin tests (TSTs) or interferon-gamma release assay (IGRA) for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for those staff and residents with previous negative test results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“Baseline TST”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“baseline IGRA”</w:t>
      </w:r>
      <w:r>
        <w:rPr>
          <w:rFonts w:ascii="Times New Roman" w:hAnsi="Times New Roman"/>
          <w:b w:val="false"/>
          <w:i w:val="false"/>
          <w:color w:val="000000"/>
          <w:sz w:val="22"/>
        </w:rPr>
        <w:t> </w:t>
      </w:r>
      <w:r>
        <w:rPr>
          <w:rFonts w:ascii="Times New Roman" w:hAnsi="Times New Roman"/>
          <w:b w:val="false"/>
          <w:i w:val="false"/>
          <w:color w:val="000000"/>
          <w:sz w:val="22"/>
        </w:rPr>
        <w:t>means the TST or IGRA, respectively, that is administered at the beginning of employment to newly hired staff or upon admission to residents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“Boosting”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phenomenon in which a person has a negative TST (i.e., false-negative) result years after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and then a positive subsequent TST result. The positive TST result is caused by a boosted immune response of previous sensitivity rather than by a new infection (false-positive TST conversion). Two-step testing reduces the likelihood of mistaking a boosted reaction for a new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“Extrapulmonary TB”</w:t>
      </w:r>
      <w:r>
        <w:rPr>
          <w:rFonts w:ascii="Times New Roman" w:hAnsi="Times New Roman"/>
          <w:b w:val="false"/>
          <w:i w:val="false"/>
          <w:color w:val="000000"/>
          <w:sz w:val="22"/>
        </w:rPr>
        <w:t> </w:t>
      </w:r>
      <w:r>
        <w:rPr>
          <w:rFonts w:ascii="Times New Roman" w:hAnsi="Times New Roman"/>
          <w:b w:val="false"/>
          <w:i w:val="false"/>
          <w:color w:val="000000"/>
          <w:sz w:val="22"/>
        </w:rPr>
        <w:t>means TB disease in any part of the body other than the lungs (e.g., kidney, spine, or lymph nodes).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“Interferon-gamma release assay”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“IGRA”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whole-blood test that can aid in diagnosing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“Laryngeal TB”</w:t>
      </w:r>
      <w:r>
        <w:rPr>
          <w:rFonts w:ascii="Times New Roman" w:hAnsi="Times New Roman"/>
          <w:b w:val="false"/>
          <w:i w:val="false"/>
          <w:color w:val="000000"/>
          <w:sz w:val="22"/>
        </w:rPr>
        <w:t> </w:t>
      </w:r>
      <w:r>
        <w:rPr>
          <w:rFonts w:ascii="Times New Roman" w:hAnsi="Times New Roman"/>
          <w:b w:val="false"/>
          <w:i w:val="false"/>
          <w:color w:val="000000"/>
          <w:sz w:val="22"/>
        </w:rPr>
        <w:t>means a form of TB disease that involves the larynx and may be highly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“Latent TB infection”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“LTBI”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without symptoms or signs of disease having manifested.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“Mantoux method”</w:t>
      </w:r>
      <w:r>
        <w:rPr>
          <w:rFonts w:ascii="Times New Roman" w:hAnsi="Times New Roman"/>
          <w:b w:val="false"/>
          <w:i w:val="false"/>
          <w:color w:val="000000"/>
          <w:sz w:val="22"/>
        </w:rPr>
        <w:t> </w:t>
      </w:r>
      <w:r>
        <w:rPr>
          <w:rFonts w:ascii="Times New Roman" w:hAnsi="Times New Roman"/>
          <w:b w:val="false"/>
          <w:i w:val="false"/>
          <w:color w:val="000000"/>
          <w:sz w:val="22"/>
        </w:rPr>
        <w:t>means a skin test performed by intradermally injecting 0.1 mL of purified protein derivative (PPD) tuberculin solution into the volar or dorsal surface of the forearm.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“Pulmonary TB”</w:t>
      </w:r>
      <w:r>
        <w:rPr>
          <w:rFonts w:ascii="Times New Roman" w:hAnsi="Times New Roman"/>
          <w:b w:val="false"/>
          <w:i w:val="false"/>
          <w:color w:val="000000"/>
          <w:sz w:val="22"/>
        </w:rPr>
        <w:t> </w:t>
      </w:r>
      <w:r>
        <w:rPr>
          <w:rFonts w:ascii="Times New Roman" w:hAnsi="Times New Roman"/>
          <w:b w:val="false"/>
          <w:i w:val="false"/>
          <w:color w:val="000000"/>
          <w:sz w:val="22"/>
        </w:rPr>
        <w:t>means TB disease that occurs in the lung parenchyma, usually producing a cough that lasts three weeks or longer. Pulmonary TB is usually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“Purified protein derivative (PPD) tuberculin”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material used in diagnostic tests for detecting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 classification”</w:t>
      </w:r>
      <w:r>
        <w:rPr>
          <w:rFonts w:ascii="Times New Roman" w:hAnsi="Times New Roman"/>
          <w:b w:val="false"/>
          <w:i w:val="false"/>
          <w:color w:val="000000"/>
          <w:sz w:val="22"/>
        </w:rPr>
        <w:t> </w:t>
      </w:r>
      <w:r>
        <w:rPr>
          <w:rFonts w:ascii="Times New Roman" w:hAnsi="Times New Roman"/>
          <w:b w:val="false"/>
          <w:i w:val="false"/>
          <w:color w:val="000000"/>
          <w:sz w:val="22"/>
        </w:rPr>
        <w:t>means the category on which the infection control team, or designated other, determines the setting’s TB risk classification is based as a result of the TB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“Serial screening”</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TB screening performed at regular intervals following baseline TB screening. Serial TB screening, also called annual or ongoing TB testing, consists of two components: (1) assessing for current symptoms of active TB disease and (2) testing for the presence of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by administering either a TST or single IGRA.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“Symptom screen”</w:t>
      </w:r>
      <w:r>
        <w:rPr>
          <w:rFonts w:ascii="Times New Roman" w:hAnsi="Times New Roman"/>
          <w:b w:val="false"/>
          <w:i w:val="false"/>
          <w:color w:val="000000"/>
          <w:sz w:val="22"/>
        </w:rPr>
        <w:t> </w:t>
      </w:r>
      <w:r>
        <w:rPr>
          <w:rFonts w:ascii="Times New Roman" w:hAnsi="Times New Roman"/>
          <w:b w:val="false"/>
          <w:i w:val="false"/>
          <w:color w:val="000000"/>
          <w:sz w:val="22"/>
        </w:rPr>
        <w:t>means a procedure used during a clinical evaluation in which patients are asked if they have experienced any departure from normal in function, appearance, or sensation related to TB disease (e.g., cough).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“TB patient”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had undiagnosed infectious pulmonary or laryngeal TB while in the facility during the preceding year. “TB patient” does not include persons with LTBI (treated or untreated), extrapulmonary TB disease, pulmonary,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“TB risk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initial and ongoing evaluation of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a particular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“TB screening”</w:t>
      </w:r>
      <w:r>
        <w:rPr>
          <w:rFonts w:ascii="Times New Roman" w:hAnsi="Times New Roman"/>
          <w:b w:val="false"/>
          <w:i w:val="false"/>
          <w:color w:val="000000"/>
          <w:sz w:val="22"/>
        </w:rPr>
        <w:t> </w:t>
      </w:r>
      <w:r>
        <w:rPr>
          <w:rFonts w:ascii="Times New Roman" w:hAnsi="Times New Roman"/>
          <w:b w:val="false"/>
          <w:i w:val="false"/>
          <w:color w:val="000000"/>
          <w:sz w:val="22"/>
        </w:rPr>
        <w:t>means an administrative control measure in which evaluation for LTBI and TB disease is performed through baseline and serial screening of staff and residents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“TB screening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plan that facilities develop and implement that comprises four major components: (1)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(2) serial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(3) serial screening for signs or symptoms of TB disease, and (4) TB 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for LTBI”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treatment that prevents the progression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into TB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“Tuberculin skin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diagnostic aid for finding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The Mantoux method is the recommended method to be used for the TST.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“Tuberculosis”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namesake member organism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and the most common causative infectious agent of TB disease in humans. In certain instances, the species name refers to the entire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which includes </w:t>
      </w:r>
      <w:r>
        <w:rPr>
          <w:rFonts w:ascii="Times New Roman" w:hAnsi="Times New Roman"/>
          <w:b w:val="false"/>
          <w:i/>
          <w:color w:val="000000"/>
          <w:sz w:val="22"/>
        </w:rPr>
        <w:t>M. bovis</w:t>
      </w:r>
      <w:r>
        <w:rPr>
          <w:rFonts w:ascii="Times New Roman" w:hAnsi="Times New Roman"/>
          <w:b w:val="false"/>
          <w:i w:val="false"/>
          <w:color w:val="000000"/>
          <w:sz w:val="22"/>
        </w:rPr>
        <w:t xml:space="preserve"> and </w:t>
      </w:r>
      <w:r>
        <w:rPr>
          <w:rFonts w:ascii="Times New Roman" w:hAnsi="Times New Roman"/>
          <w:b w:val="false"/>
          <w:i/>
          <w:color w:val="000000"/>
          <w:sz w:val="22"/>
        </w:rPr>
        <w:t>M. africanum</w:t>
      </w:r>
      <w:r>
        <w:rPr>
          <w:rFonts w:ascii="Times New Roman" w:hAnsi="Times New Roman"/>
          <w:b w:val="false"/>
          <w:i w:val="false"/>
          <w:color w:val="000000"/>
          <w:sz w:val="22"/>
        </w:rPr>
        <w:t xml:space="preserve">, </w:t>
      </w:r>
      <w:r>
        <w:rPr>
          <w:rFonts w:ascii="Times New Roman" w:hAnsi="Times New Roman"/>
          <w:b w:val="false"/>
          <w:i/>
          <w:color w:val="000000"/>
          <w:sz w:val="22"/>
        </w:rPr>
        <w:t>M. microti</w:t>
      </w:r>
      <w:r>
        <w:rPr>
          <w:rFonts w:ascii="Times New Roman" w:hAnsi="Times New Roman"/>
          <w:b w:val="false"/>
          <w:i w:val="false"/>
          <w:color w:val="000000"/>
          <w:sz w:val="22"/>
        </w:rPr>
        <w:t xml:space="preserve">, </w:t>
      </w:r>
      <w:r>
        <w:rPr>
          <w:rFonts w:ascii="Times New Roman" w:hAnsi="Times New Roman"/>
          <w:b w:val="false"/>
          <w:i/>
          <w:color w:val="000000"/>
          <w:sz w:val="22"/>
        </w:rPr>
        <w:t>M. canetti</w:t>
      </w:r>
      <w:r>
        <w:rPr>
          <w:rFonts w:ascii="Times New Roman" w:hAnsi="Times New Roman"/>
          <w:b w:val="false"/>
          <w:i w:val="false"/>
          <w:color w:val="000000"/>
          <w:sz w:val="22"/>
        </w:rPr>
        <w:t xml:space="preserve">, </w:t>
      </w:r>
      <w:r>
        <w:rPr>
          <w:rFonts w:ascii="Times New Roman" w:hAnsi="Times New Roman"/>
          <w:b w:val="false"/>
          <w:i/>
          <w:color w:val="000000"/>
          <w:sz w:val="22"/>
        </w:rPr>
        <w:t>M. caprae</w:t>
      </w:r>
      <w:r>
        <w:rPr>
          <w:rFonts w:ascii="Times New Roman" w:hAnsi="Times New Roman"/>
          <w:b w:val="false"/>
          <w:i w:val="false"/>
          <w:color w:val="000000"/>
          <w:sz w:val="22"/>
        </w:rPr>
        <w:t xml:space="preserve">, and </w:t>
      </w:r>
      <w:r>
        <w:rPr>
          <w:rFonts w:ascii="Times New Roman" w:hAnsi="Times New Roman"/>
          <w:b w:val="false"/>
          <w:i/>
          <w:color w:val="000000"/>
          <w:sz w:val="22"/>
        </w:rPr>
        <w:t>M. pinnipedii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“Tuberculosis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“TB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condition caused by infection with a member of the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that has progressed to causing clinical (manifesting symptoms or signs) or subclinical (early stage of disease in which signs or symptoms are not present but other indications of disease activity are present)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“Two-step tuberculin skin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“two-step TST”</w:t>
      </w:r>
      <w:r>
        <w:rPr>
          <w:rFonts w:ascii="Times New Roman" w:hAnsi="Times New Roman"/>
          <w:b w:val="false"/>
          <w:i w:val="false"/>
          <w:color w:val="000000"/>
          <w:sz w:val="22"/>
        </w:rPr>
        <w:t> </w:t>
      </w:r>
      <w:r>
        <w:rPr>
          <w:rFonts w:ascii="Times New Roman" w:hAnsi="Times New Roman"/>
          <w:b w:val="false"/>
          <w:i w:val="false"/>
          <w:color w:val="000000"/>
          <w:sz w:val="22"/>
        </w:rPr>
        <w:t>means the procedure used for the baseline skin testing of persons who will receive serial TSTs to reduce the likelihood of mistaking a boosted reaction for a new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641—155.38</w:t>
      </w:r>
      <w:r>
        <w:rPr>
          <w:rFonts w:ascii="Times New Roman" w:hAnsi="Times New Roman"/>
          <w:b/>
          <w:i w:val="false"/>
          <w:color w:val="000000"/>
          <w:sz w:val="22"/>
        </w:rPr>
        <w:t xml:space="preserve">(125,135) </w:t>
      </w:r>
      <w:r>
        <w:rPr>
          <w:rFonts w:ascii="Times New Roman" w:hAnsi="Times New Roman"/>
          <w:b/>
          <w:i w:val="false"/>
          <w:color w:val="000000"/>
          <w:sz w:val="22"/>
        </w:rPr>
        <w:t xml:space="preserve">Tuberculosis screening of staff and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155.38(1)</w:t>
      </w:r>
      <w:r>
        <w:rPr>
          <w:rFonts w:ascii="Times New Roman" w:hAnsi="Times New Roman"/>
          <w:b w:val="false"/>
          <w:i w:val="false"/>
          <w:color w:val="000000"/>
          <w:sz w:val="22"/>
        </w:rPr>
        <w:t> </w:t>
      </w:r>
      <w:r>
        <w:rPr>
          <w:rFonts w:ascii="Times New Roman" w:hAnsi="Times New Roman"/>
          <w:b w:val="false"/>
          <w:i/>
          <w:color w:val="000000"/>
          <w:sz w:val="22"/>
        </w:rPr>
        <w:t xml:space="preserve">TB risk assessment. </w:t>
      </w:r>
      <w:r>
        <w:rPr>
          <w:rFonts w:ascii="Times New Roman" w:hAnsi="Times New Roman"/>
          <w:b w:val="false"/>
          <w:i w:val="false"/>
          <w:color w:val="000000"/>
          <w:sz w:val="22"/>
        </w:rPr>
        <w:t xml:space="preserve">Annually, each facility shall conduct a TB risk assessment to evaluate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regardless of whether a person with suspected or confirmed TB disease is expected to be encountered in the facility. The TB risk assessment shall be utilized to determine the types of administrative, environmental, and respiratory protection controls needed and serves as an ongoing evaluation tool of the quality of TB infection control and for the identification of needed improvements in infection control measures. The risk assessment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community rate of 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persons with infectious TB encountered in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speed with which persons with infectious TB are suspected, isolated, and evaluated to determine if persons with infectious TB exposed staff or others in the facility. TB cases include persons who had undiagnosed infectious pulmonary or laryngeal TB while in the facility during the preceding year. This does not include persons with LTBI (treated or untreated), persons with extrapulmonary TB disease, or persons with pulmonary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155.38(2)</w:t>
      </w:r>
      <w:r>
        <w:rPr>
          <w:rFonts w:ascii="Times New Roman" w:hAnsi="Times New Roman"/>
          <w:b w:val="false"/>
          <w:i w:val="false"/>
          <w:color w:val="000000"/>
          <w:sz w:val="22"/>
        </w:rPr>
        <w:t> </w:t>
      </w:r>
      <w:r>
        <w:rPr>
          <w:rFonts w:ascii="Times New Roman" w:hAnsi="Times New Roman"/>
          <w:b w:val="false"/>
          <w:i/>
          <w:color w:val="000000"/>
          <w:sz w:val="22"/>
        </w:rPr>
        <w:t xml:space="preserve">Facility risk classification. </w:t>
      </w:r>
      <w:r>
        <w:rPr>
          <w:rFonts w:ascii="Times New Roman" w:hAnsi="Times New Roman"/>
          <w:b w:val="false"/>
          <w:i w:val="false"/>
          <w:color w:val="000000"/>
          <w:sz w:val="22"/>
        </w:rPr>
        <w:t>The infection control team or designated staff in a facility is responsible for determining the type of risk classification of the facility. The facility risk classification is used to determine the frequency of TB screening. The facility risk classification may change due to an increase or decrease in the number of TB cases during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Types of risk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“Low risk” means that a facility is one in which persons with active TB disease are not expected to be encountered and in which exposure to TB is unlikely.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“Medium risk” means that a facility is one in which health care workers will or might be exposed to persons with active TB disease or to clinical specimens that might contain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ongoing transmission” means that a facility is one in which there is evidence of person-to-person transmission of </w:t>
      </w:r>
      <w:r>
        <w:rPr>
          <w:rFonts w:ascii="Times New Roman" w:hAnsi="Times New Roman"/>
          <w:b w:val="false"/>
          <w:i/>
          <w:color w:val="000000"/>
          <w:sz w:val="22"/>
        </w:rPr>
        <w:t>M. tuberculosis</w:t>
      </w:r>
      <w:r>
        <w:rPr>
          <w:rFonts w:ascii="Times New Roman" w:hAnsi="Times New Roman"/>
          <w:b w:val="false"/>
          <w:i w:val="false"/>
          <w:color w:val="000000"/>
          <w:sz w:val="22"/>
        </w:rPr>
        <w:t>. This classification is a temporary classification. If it is determined that this classification applies to a facility, the facility shall consult with the department’s TB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criteria—low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or more beds. If a facility has fewer than six TB patients for the preceding year, the facility will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has fewer than three TB patients for the preceding year, the facility will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Outpatient, outreach, and home-based health care settings. If a facility has fewer than three TB patients for the preceding year, the facility will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or more beds. If a facility has six or more TB patients for the preceding year, the facility will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has three or more TB patients for the preceding year, the facility will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Outpatient, outreach, and home-based health care settings. If a facility has three or more TB patients for the preceding year, the facility will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criteria—potential ongoing transmission. </w:t>
      </w:r>
      <w:r>
        <w:rPr>
          <w:rFonts w:ascii="Times New Roman" w:hAnsi="Times New Roman"/>
          <w:b w:val="false"/>
          <w:i w:val="false"/>
          <w:color w:val="000000"/>
          <w:sz w:val="22"/>
        </w:rPr>
        <w:t xml:space="preserve">If evidence of ongoing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transmission exists at a facility, the facility will be classified as potential ongoing transmission, regardless of the facility’s previous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155.38(3)</w:t>
      </w: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procedures for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facility staff members shall receive baseline TB screening upon hire. Baseline TB screening consists of two components: (1) assessing for current symptoms of active TB disease and (2) using a two-step TST or a single IGRA to test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member may begin working with patients after a negative TB symptom screen (i.e., no symptoms of active TB disease) and a negative TST (i.e., first step) or a negative IGRA. The second TST may be performed after the staff member starts working with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staff member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symptoms or signs of TB disease develop or unless recommended by a clinician.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staff member with documentation of past positive test results (i.e., TST or IGRA) and documentation of the results of a chest radiograph indicating no active disease, dated after the date of the positive TST or IGRA test result, does not need another chest radiograph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staff with a documented history of TB disease,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interferon-gamma (IFN-g)). All other staff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 TST is not needed if the staff member has a documented TST result from any time during the previous 12 months. If a newly employed staff member has had a documented negative TST result within the previous 12 months, a single TST can be administered in the new setting. This additional TST represents the second stage of two-step testing. The second test decreases the possibility that boosting on later testing will lead to incorrect suspicion of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Previous BCG vaccination is not a contraindication to having an IGRA, a TST or two-step skin testing administered. Health care workers with previous BCG vaccination should receive baseline and serial testing in the same manner as those without BCG vaccination. Evaluation of TST reactions in persons vaccinated with BCG should be interpreted using the same criteria for those not BCG-vaccinated. A health care worker’s history of BCG vaccination should be disregarded when administering and interpreting TST results. Previous BCG vaccination does not cause a false-positive IGRA test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155.38(4)</w:t>
      </w:r>
      <w:r>
        <w:rPr>
          <w:rFonts w:ascii="Times New Roman" w:hAnsi="Times New Roman"/>
          <w:b w:val="false"/>
          <w:i w:val="false"/>
          <w:color w:val="000000"/>
          <w:sz w:val="22"/>
        </w:rPr>
        <w:t> </w:t>
      </w:r>
      <w:r>
        <w:rPr>
          <w:rFonts w:ascii="Times New Roman" w:hAnsi="Times New Roman"/>
          <w:b w:val="false"/>
          <w:i/>
          <w:color w:val="000000"/>
          <w:sz w:val="22"/>
        </w:rPr>
        <w:t xml:space="preserve">Serial TB screening procedures for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low risk. </w:t>
      </w:r>
      <w:r>
        <w:rPr>
          <w:rFonts w:ascii="Times New Roman" w:hAnsi="Times New Roman"/>
          <w:b w:val="false"/>
          <w:i w:val="false"/>
          <w:color w:val="000000"/>
          <w:sz w:val="22"/>
        </w:rPr>
        <w:t xml:space="preserve">After baseline testing of staff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additional TB screening of staff is not necessary unless an exposure to </w:t>
      </w:r>
      <w:r>
        <w:rPr>
          <w:rFonts w:ascii="Times New Roman" w:hAnsi="Times New Roman"/>
          <w:b w:val="false"/>
          <w:i/>
          <w:color w:val="000000"/>
          <w:sz w:val="22"/>
        </w:rPr>
        <w:t>M. tuberculosis</w:t>
      </w:r>
      <w:r>
        <w:rPr>
          <w:rFonts w:ascii="Times New Roman" w:hAnsi="Times New Roman"/>
          <w:b w:val="false"/>
          <w:i w:val="false"/>
          <w:color w:val="000000"/>
          <w:sz w:val="22"/>
        </w:rPr>
        <w:t xml:space="preserv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undergoing baseline 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staff should receive TB screening annually (i.e., symptom screen for all staff members and 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for staff members with baseline negative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members with a baseline positive or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documentation of previous treatment for LTBI or TB disease shall receive one chest radiograph result to exclude TB disease. Instead of participating in serial testing, staff should receive a symptom screen annually. This screen should be accomplished by educating the staff about symptoms of TB disease and instructing the staff members to report any such symptoms immediately to the occupational health unit.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potential ongoing transmission. </w:t>
      </w:r>
      <w:r>
        <w:rPr>
          <w:rFonts w:ascii="Times New Roman" w:hAnsi="Times New Roman"/>
          <w:b w:val="false"/>
          <w:i w:val="false"/>
          <w:color w:val="000000"/>
          <w:sz w:val="22"/>
        </w:rPr>
        <w:t xml:space="preserve">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may need to be performed every eight to ten weeks until lapses in infection control have been corrected and no additional evidence of ongoing transmission is apparent. The potential ongoing transmission classification should be used only as a temporary classification. This classification warrants immediate investigation and corrective steps. After a determination that ongoing transmission has ceased, the setting will be reclassified as medium risk for a minimum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155.38(5)</w:t>
      </w:r>
      <w:r>
        <w:rPr>
          <w:rFonts w:ascii="Times New Roman" w:hAnsi="Times New Roman"/>
          <w:b w:val="false"/>
          <w:i w:val="false"/>
          <w:color w:val="000000"/>
          <w:sz w:val="22"/>
        </w:rPr>
        <w:t> </w:t>
      </w:r>
      <w:r>
        <w:rPr>
          <w:rFonts w:ascii="Times New Roman" w:hAnsi="Times New Roman"/>
          <w:b w:val="false"/>
          <w:i/>
          <w:color w:val="000000"/>
          <w:sz w:val="22"/>
        </w:rPr>
        <w:t xml:space="preserve">Screening of staff who transfer to other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transferring from a low-risk facility to another low-risk facility. </w:t>
      </w:r>
      <w:r>
        <w:rPr>
          <w:rFonts w:ascii="Times New Roman" w:hAnsi="Times New Roman"/>
          <w:b w:val="false"/>
          <w:i w:val="false"/>
          <w:color w:val="000000"/>
          <w:sz w:val="22"/>
        </w:rPr>
        <w:t xml:space="preserve">After a baseline result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is established and documented, serial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is not necessary for staff transferring from a low-risk facility to another low-risk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transferring from a low-risk facility to a medium-risk facility. </w:t>
      </w:r>
      <w:r>
        <w:rPr>
          <w:rFonts w:ascii="Times New Roman" w:hAnsi="Times New Roman"/>
          <w:b w:val="false"/>
          <w:i w:val="false"/>
          <w:color w:val="000000"/>
          <w:sz w:val="22"/>
        </w:rPr>
        <w:t xml:space="preserve">After a baseline result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is established and documented, annual TB screening, including a symptom screen and TST or IGRA for persons with previously negative test results, should be performed for staff transferring from a low-risk facility to a medium-risk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155.38(6)</w:t>
      </w: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procedures for residents of residential, inpatient, and halfway house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TB screening is a formal procedure to evaluate residents for LTBI and TB disease. Baseline TB screening consists of two components: (1) assessing for current symptoms of active TB disease and (2) using a two-step TST or a single IGRA to test for infection with </w:t>
      </w:r>
      <w:r>
        <w:rPr>
          <w:rFonts w:ascii="Times New Roman" w:hAnsi="Times New Roman"/>
          <w:b w:val="false"/>
          <w:i/>
          <w:color w:val="000000"/>
          <w:sz w:val="22"/>
        </w:rPr>
        <w:t>M.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assessed for current symptoms of active TB disease upon admission. Within 72 hours of a resident’s admission, baseline TB testing for infection shall be initiated unless baseline TB testing occurred within three months prior to the resident’s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symptoms or signs of TB disease develop or unless recommended by a clinician.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with documentation of past positive test results (i.e., TST or IGRA) and documentation of the results of a chest radiograph indicating no active disease, dated after the date of the positive TST or IGRA test result, do not need another chest radiograph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residents with a documented history of TB disease, a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IFN-g). All other residents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 TST is not needed if the resident has a documented TST result from any time during the previous 12 months. If a new resident has had a documented negative TST result within the previous 12 months, a single TST can be administered in the new setting. This additional TST represents the second stage of two-step testing. The second test decreases the possibility that boosting on later testing will lead to incorrect suspicion of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After baseline TB screening is accomplished, serial TB screening of the residents is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155.38(7)</w:t>
      </w:r>
      <w:r>
        <w:rPr>
          <w:rFonts w:ascii="Times New Roman" w:hAnsi="Times New Roman"/>
          <w:b w:val="false"/>
          <w:i w:val="false"/>
          <w:color w:val="000000"/>
          <w:sz w:val="22"/>
        </w:rPr>
        <w:t> </w:t>
      </w:r>
      <w:r>
        <w:rPr>
          <w:rFonts w:ascii="Times New Roman" w:hAnsi="Times New Roman"/>
          <w:b w:val="false"/>
          <w:i/>
          <w:color w:val="000000"/>
          <w:sz w:val="22"/>
        </w:rPr>
        <w:t xml:space="preserve">Serial TB screening procedures for residents of residential, inpatient, and halfway house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resident is discharged and readmitted to a facility and less than 12 months have passed since the last TB screening, residents should receive a symptom screen upon readmittance. This screen should be accomplished by educating the resident about symptoms of TB disease and instructing the resident to report any such symptoms immediately to the infection control team or designated other staff. If symptoms or signs of TB disease are documented, then a medical evaluation to include a chest X-ray to rule out TB disease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resident is discharged and readmitted to a facility and more than 12 months have passed since the last TB screening, baseline TB screening should be repeated as outlined in subrule </w:t>
      </w:r>
      <w:hyperlink r:id="rId76">
        <w:r>
          <w:rPr>
            <w:rStyle w:val="Hyperlink"/>
            <w:rFonts w:ascii="Times New Roman" w:hAnsi="Times New Roman"/>
            <w:b w:val="false"/>
            <w:i w:val="false"/>
            <w:color w:val="000000"/>
            <w:sz w:val="22"/>
          </w:rPr>
          <w:t>155.38(6).</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7">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3/20/78—published 4/5/78, effective 3/20/78]</w:t>
      </w:r>
    </w:p>
    <w:p>
      <w:pPr>
        <w:spacing w:before="0" w:after="0"/>
        <w:ind w:left="120"/>
        <w:jc w:val="center"/>
      </w:pPr>
      <w:r>
        <w:rPr>
          <w:rFonts w:ascii="Times New Roman" w:hAnsi="Times New Roman"/>
          <w:b w:val="false"/>
          <w:i w:val="false"/>
          <w:color w:val="000000"/>
          <w:sz w:val="21"/>
        </w:rPr>
        <w:t>[Filed 6/9/78, Notice 5/3/78—published 6/28/78, effective 8/2/78]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12/14/78, Notice 11/1/78—published 12/27/78, effective 1/31/79]</w:t>
      </w:r>
    </w:p>
    <w:p>
      <w:pPr>
        <w:spacing w:before="0" w:after="0"/>
        <w:ind w:left="120"/>
        <w:jc w:val="center"/>
      </w:pPr>
      <w:r>
        <w:rPr>
          <w:rFonts w:ascii="Times New Roman" w:hAnsi="Times New Roman"/>
          <w:b w:val="false"/>
          <w:i w:val="false"/>
          <w:color w:val="000000"/>
          <w:sz w:val="21"/>
        </w:rPr>
        <w:t>[Filed 9/26/80, Notice 7/9/80—published 10/15/80, effective 11/19/80]</w:t>
      </w:r>
    </w:p>
    <w:p>
      <w:pPr>
        <w:spacing w:before="0" w:after="0"/>
        <w:ind w:left="120"/>
        <w:jc w:val="center"/>
      </w:pPr>
      <w:r>
        <w:rPr>
          <w:rFonts w:ascii="Times New Roman" w:hAnsi="Times New Roman"/>
          <w:b w:val="false"/>
          <w:i w:val="false"/>
          <w:color w:val="000000"/>
          <w:sz w:val="21"/>
        </w:rPr>
        <w:t>[Filed 1/30/81, Notice 12/10/80—published 2/18/81, effective 3/25/81]</w:t>
      </w:r>
    </w:p>
    <w:p>
      <w:pPr>
        <w:spacing w:before="0" w:after="0"/>
        <w:ind w:left="120"/>
        <w:jc w:val="center"/>
      </w:pPr>
      <w:r>
        <w:rPr>
          <w:rFonts w:ascii="Times New Roman" w:hAnsi="Times New Roman"/>
          <w:b w:val="false"/>
          <w:i w:val="false"/>
          <w:color w:val="000000"/>
          <w:sz w:val="21"/>
        </w:rPr>
        <w:t>[Filed 5/22/81, Notice 3/18/81—published 6/10/81, effective 7/15/81]</w:t>
      </w:r>
    </w:p>
    <w:p>
      <w:pPr>
        <w:spacing w:before="0" w:after="0"/>
        <w:ind w:left="120"/>
        <w:jc w:val="center"/>
      </w:pPr>
      <w:r>
        <w:rPr>
          <w:rFonts w:ascii="Times New Roman" w:hAnsi="Times New Roman"/>
          <w:b w:val="false"/>
          <w:i w:val="false"/>
          <w:color w:val="000000"/>
          <w:sz w:val="21"/>
        </w:rPr>
        <w:t>[Filed 9/18/81, Notice 7/22/81—published 10/14/81, effective 11/18/81]</w:t>
      </w:r>
    </w:p>
    <w:p>
      <w:pPr>
        <w:spacing w:before="0" w:after="0"/>
        <w:ind w:left="120"/>
        <w:jc w:val="center"/>
      </w:pPr>
      <w:r>
        <w:rPr>
          <w:rFonts w:ascii="Times New Roman" w:hAnsi="Times New Roman"/>
          <w:b w:val="false"/>
          <w:i w:val="false"/>
          <w:color w:val="000000"/>
          <w:sz w:val="21"/>
        </w:rPr>
        <w:t>[Filed 11/20/81, Notice 8/19/81—published 12/9/81, effective 1/13/82]</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emergency 3/26/82—published 4/14/82, effective 3/26/82]</w:t>
      </w:r>
    </w:p>
    <w:p>
      <w:pPr>
        <w:spacing w:before="0" w:after="0"/>
        <w:ind w:left="120"/>
        <w:jc w:val="center"/>
      </w:pPr>
      <w:r>
        <w:rPr>
          <w:rFonts w:ascii="Times New Roman" w:hAnsi="Times New Roman"/>
          <w:b w:val="false"/>
          <w:i w:val="false"/>
          <w:color w:val="000000"/>
          <w:sz w:val="21"/>
        </w:rPr>
        <w:t>[Filed 3/26/82, Notice 1/6/82—published 4/14/82, effective 5/19/82]</w:t>
      </w:r>
    </w:p>
    <w:p>
      <w:pPr>
        <w:spacing w:before="0" w:after="0"/>
        <w:ind w:left="120"/>
        <w:jc w:val="center"/>
      </w:pPr>
      <w:r>
        <w:rPr>
          <w:rFonts w:ascii="Times New Roman" w:hAnsi="Times New Roman"/>
          <w:b w:val="false"/>
          <w:i w:val="false"/>
          <w:color w:val="000000"/>
          <w:sz w:val="21"/>
        </w:rPr>
        <w:t>[Filed 9/24/82, Notice 6/23/82—published 10/13/82, effective 11/17/82]</w:t>
      </w:r>
    </w:p>
    <w:p>
      <w:pPr>
        <w:spacing w:before="0" w:after="0"/>
        <w:ind w:left="120"/>
        <w:jc w:val="center"/>
      </w:pPr>
      <w:r>
        <w:rPr>
          <w:rFonts w:ascii="Times New Roman" w:hAnsi="Times New Roman"/>
          <w:b w:val="false"/>
          <w:i w:val="false"/>
          <w:color w:val="000000"/>
          <w:sz w:val="21"/>
        </w:rPr>
        <w:t>[Filed 11/18/82, Notice 10/13/82—published 12/8/82, effective 1/12/83]</w:t>
      </w:r>
    </w:p>
    <w:p>
      <w:pPr>
        <w:spacing w:before="0" w:after="0"/>
        <w:ind w:left="120"/>
        <w:jc w:val="center"/>
      </w:pPr>
      <w:r>
        <w:rPr>
          <w:rFonts w:ascii="Times New Roman" w:hAnsi="Times New Roman"/>
          <w:b w:val="false"/>
          <w:i w:val="false"/>
          <w:color w:val="000000"/>
          <w:sz w:val="21"/>
        </w:rPr>
        <w:t>[Filed 6/2/83, Notice 4/13/83—published 6/22/83, effective 7/27/83]</w:t>
      </w:r>
    </w:p>
    <w:p>
      <w:pPr>
        <w:spacing w:before="0" w:after="0"/>
        <w:ind w:left="120"/>
        <w:jc w:val="center"/>
      </w:pPr>
      <w:r>
        <w:rPr>
          <w:rFonts w:ascii="Times New Roman" w:hAnsi="Times New Roman"/>
          <w:b w:val="false"/>
          <w:i w:val="false"/>
          <w:color w:val="000000"/>
          <w:sz w:val="21"/>
        </w:rPr>
        <w:t>[Filed emergency 7/27/84—published 8/15/84, effective 7/27/84]</w:t>
      </w:r>
    </w:p>
    <w:p>
      <w:pPr>
        <w:spacing w:before="0" w:after="0"/>
        <w:ind w:left="120"/>
        <w:jc w:val="center"/>
      </w:pPr>
      <w:r>
        <w:rPr>
          <w:rFonts w:ascii="Times New Roman" w:hAnsi="Times New Roman"/>
          <w:b w:val="false"/>
          <w:i w:val="false"/>
          <w:color w:val="000000"/>
          <w:sz w:val="21"/>
        </w:rPr>
        <w:t>[Filed 10/19/84, Notice 8/15/84—published 11/7/84, effective 12/12/84]</w:t>
      </w:r>
    </w:p>
    <w:p>
      <w:pPr>
        <w:spacing w:before="0" w:after="0"/>
        <w:ind w:left="120"/>
        <w:jc w:val="center"/>
      </w:pPr>
      <w:r>
        <w:rPr>
          <w:rFonts w:ascii="Times New Roman" w:hAnsi="Times New Roman"/>
          <w:b w:val="false"/>
          <w:i w:val="false"/>
          <w:color w:val="000000"/>
          <w:sz w:val="21"/>
        </w:rPr>
        <w:t>[Filed 9/20/85, Notice 6/19/85—published 10/9/85, effective 11/13/85]</w:t>
      </w:r>
    </w:p>
    <w:p>
      <w:pPr>
        <w:spacing w:before="0" w:after="0"/>
        <w:ind w:left="120"/>
        <w:jc w:val="center"/>
      </w:pPr>
      <w:r>
        <w:rPr>
          <w:rFonts w:ascii="Times New Roman" w:hAnsi="Times New Roman"/>
          <w:b w:val="false"/>
          <w:i w:val="false"/>
          <w:color w:val="000000"/>
          <w:sz w:val="21"/>
        </w:rPr>
        <w:t>[Filed emergency 2/21/86—published 3/12/86, effective 2/21/86]</w:t>
      </w:r>
    </w:p>
    <w:p>
      <w:pPr>
        <w:spacing w:before="0" w:after="0"/>
        <w:ind w:left="120"/>
        <w:jc w:val="center"/>
      </w:pPr>
      <w:r>
        <w:rPr>
          <w:rFonts w:ascii="Times New Roman" w:hAnsi="Times New Roman"/>
          <w:b w:val="false"/>
          <w:i w:val="false"/>
          <w:color w:val="000000"/>
          <w:sz w:val="21"/>
        </w:rPr>
        <w:t>[Filed 5/30/86, Notice 3/12/86—published 6/18/86, effective 7/23/86]</w:t>
      </w:r>
    </w:p>
    <w:p>
      <w:pPr>
        <w:spacing w:before="0" w:after="0"/>
        <w:ind w:left="120"/>
        <w:jc w:val="center"/>
      </w:pPr>
      <w:r>
        <w:rPr>
          <w:rFonts w:ascii="Times New Roman" w:hAnsi="Times New Roman"/>
          <w:b w:val="false"/>
          <w:i w:val="false"/>
          <w:color w:val="000000"/>
          <w:sz w:val="21"/>
        </w:rPr>
        <w:t>[Filed emergency 6/26/87—published 7/15/87, effective 6/26/87]</w:t>
      </w:r>
    </w:p>
    <w:p>
      <w:pPr>
        <w:spacing w:before="0" w:after="0"/>
        <w:ind w:left="120"/>
        <w:jc w:val="center"/>
      </w:pPr>
      <w:r>
        <w:rPr>
          <w:rFonts w:ascii="Times New Roman" w:hAnsi="Times New Roman"/>
          <w:b w:val="false"/>
          <w:i w:val="false"/>
          <w:color w:val="000000"/>
          <w:sz w:val="21"/>
        </w:rPr>
        <w:t>[Filed 7/8/88, Notice 3/23/88—published 7/27/88, effective 8/31/88]</w:t>
      </w:r>
    </w:p>
    <w:p>
      <w:pPr>
        <w:spacing w:before="0" w:after="0"/>
        <w:ind w:left="120"/>
        <w:jc w:val="center"/>
      </w:pPr>
      <w:r>
        <w:rPr>
          <w:rFonts w:ascii="Times New Roman" w:hAnsi="Times New Roman"/>
          <w:b w:val="false"/>
          <w:i w:val="false"/>
          <w:color w:val="000000"/>
          <w:sz w:val="21"/>
        </w:rPr>
        <w:t>[Filed 10/28/88, Notice 8/10/88—published 11/16/88, effective 12/21/88]</w:t>
      </w:r>
    </w:p>
    <w:p>
      <w:pPr>
        <w:spacing w:before="0" w:after="0"/>
        <w:ind w:left="120"/>
        <w:jc w:val="center"/>
      </w:pPr>
      <w:r>
        <w:rPr>
          <w:rFonts w:ascii="Times New Roman" w:hAnsi="Times New Roman"/>
          <w:b w:val="false"/>
          <w:i w:val="false"/>
          <w:color w:val="000000"/>
          <w:sz w:val="21"/>
        </w:rPr>
        <w:t>[Filed 7/2/93, Notice 4/14/93—published 7/21/93, effective 8/25/93]</w:t>
      </w:r>
    </w:p>
    <w:p>
      <w:pPr>
        <w:spacing w:before="0" w:after="0"/>
        <w:ind w:left="120"/>
        <w:jc w:val="center"/>
      </w:pPr>
      <w:r>
        <w:rPr>
          <w:rFonts w:ascii="Times New Roman" w:hAnsi="Times New Roman"/>
          <w:b w:val="false"/>
          <w:i w:val="false"/>
          <w:color w:val="000000"/>
          <w:sz w:val="21"/>
        </w:rPr>
        <w:t>[Filed 2/25/94, Notice 9/29/93—published 3/16/94, effective 4/20/94]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6/24/94—published 7/20/94, effective 6/24/94]</w:t>
      </w:r>
    </w:p>
    <w:p>
      <w:pPr>
        <w:spacing w:before="0" w:after="0"/>
        <w:ind w:left="120"/>
        <w:jc w:val="center"/>
      </w:pPr>
      <w:r>
        <w:rPr>
          <w:rFonts w:ascii="Times New Roman" w:hAnsi="Times New Roman"/>
          <w:b w:val="false"/>
          <w:i w:val="false"/>
          <w:color w:val="000000"/>
          <w:sz w:val="21"/>
        </w:rPr>
        <w:t>[Filed 8/25/95, Notice 6/7/95—published 9/13/95, effective 10/18/95]</w:t>
      </w:r>
    </w:p>
    <w:p>
      <w:pPr>
        <w:spacing w:before="0" w:after="0"/>
        <w:ind w:left="120"/>
        <w:jc w:val="center"/>
      </w:pPr>
      <w:r>
        <w:rPr>
          <w:rFonts w:ascii="Times New Roman" w:hAnsi="Times New Roman"/>
          <w:b w:val="false"/>
          <w:i w:val="false"/>
          <w:color w:val="000000"/>
          <w:sz w:val="21"/>
        </w:rPr>
        <w:t>[Filed 9/8/95, Notice 5/24/95—published 9/27/95, effective 11/1/95]</w:t>
      </w:r>
    </w:p>
    <w:p>
      <w:pPr>
        <w:spacing w:before="0" w:after="0"/>
        <w:ind w:left="120"/>
        <w:jc w:val="center"/>
      </w:pPr>
      <w:r>
        <w:rPr>
          <w:rFonts w:ascii="Times New Roman" w:hAnsi="Times New Roman"/>
          <w:b w:val="false"/>
          <w:i w:val="false"/>
          <w:color w:val="000000"/>
          <w:sz w:val="21"/>
        </w:rPr>
        <w:t>[Filed 3/6/98, Notice 11/19/97—published 3/25/98, effective 4/29/98]</w:t>
      </w:r>
    </w:p>
    <w:p>
      <w:pPr>
        <w:spacing w:before="0" w:after="0"/>
        <w:ind w:left="120"/>
        <w:jc w:val="center"/>
      </w:pPr>
      <w:r>
        <w:rPr>
          <w:rFonts w:ascii="Times New Roman" w:hAnsi="Times New Roman"/>
          <w:b w:val="false"/>
          <w:i w:val="false"/>
          <w:color w:val="000000"/>
          <w:sz w:val="21"/>
        </w:rPr>
        <w:t>[Filed 12/20/00, Notice 8/9/00—published 1/10/01, effective 2/14/01]</w:t>
      </w:r>
    </w:p>
    <w:p>
      <w:pPr>
        <w:spacing w:before="0" w:after="0"/>
        <w:ind w:left="120"/>
        <w:jc w:val="center"/>
      </w:pPr>
      <w:r>
        <w:rPr>
          <w:rFonts w:ascii="Times New Roman" w:hAnsi="Times New Roman"/>
          <w:b w:val="false"/>
          <w:i w:val="false"/>
          <w:color w:val="000000"/>
          <w:sz w:val="21"/>
        </w:rPr>
        <w:t>[Filed 6/22/01, Notice 3/21/01—published 7/11/01, effective 8/15/01]</w:t>
      </w:r>
    </w:p>
    <w:p>
      <w:pPr>
        <w:spacing w:before="0" w:after="0"/>
        <w:ind w:left="120"/>
        <w:jc w:val="center"/>
      </w:pPr>
      <w:r>
        <w:rPr>
          <w:rFonts w:ascii="Times New Roman" w:hAnsi="Times New Roman"/>
          <w:b w:val="false"/>
          <w:i w:val="false"/>
          <w:color w:val="000000"/>
          <w:sz w:val="21"/>
        </w:rPr>
        <w:t>[Filed 8/29/02, Notice 6/26/02—published 9/18/02, effective 10/23/02]</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Emergency After Notice ARC 8792B</w:t>
      </w:r>
      <w:r>
        <w:rPr>
          <w:rFonts w:ascii="Times New Roman" w:hAnsi="Times New Roman"/>
          <w:b w:val="false"/>
          <w:i w:val="false"/>
          <w:color w:val="000000"/>
          <w:sz w:val="21"/>
        </w:rPr>
        <w:t xml:space="preserve"> (Notice ARC 8628B, IAB 3/24/10)</w:t>
      </w:r>
      <w:r>
        <w:rPr>
          <w:rFonts w:ascii="Times New Roman" w:hAnsi="Times New Roman"/>
          <w:b w:val="false"/>
          <w:i w:val="false"/>
          <w:color w:val="000000"/>
          <w:sz w:val="21"/>
        </w:rPr>
        <w:t>, IAB 6/2/10, effective 7/1/10]</w:t>
      </w:r>
    </w:p>
    <w:p>
      <w:pPr>
        <w:spacing w:before="0" w:after="0"/>
        <w:ind w:left="120"/>
        <w:jc w:val="center"/>
      </w:pPr>
      <w:r>
        <w:rPr>
          <w:rFonts w:ascii="Times New Roman" w:hAnsi="Times New Roman"/>
          <w:b w:val="false"/>
          <w:i w:val="false"/>
          <w:color w:val="000000"/>
          <w:sz w:val="21"/>
        </w:rPr>
        <w:t>[Filed ARC 9534B</w:t>
      </w:r>
      <w:r>
        <w:rPr>
          <w:rFonts w:ascii="Times New Roman" w:hAnsi="Times New Roman"/>
          <w:b w:val="false"/>
          <w:i w:val="false"/>
          <w:color w:val="000000"/>
          <w:sz w:val="21"/>
        </w:rPr>
        <w:t xml:space="preserve"> (Notice ARC 9436B, IAB 3/23/11)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9774B</w:t>
      </w:r>
      <w:r>
        <w:rPr>
          <w:rFonts w:ascii="Times New Roman" w:hAnsi="Times New Roman"/>
          <w:b w:val="false"/>
          <w:i w:val="false"/>
          <w:color w:val="000000"/>
          <w:sz w:val="21"/>
        </w:rPr>
        <w:t xml:space="preserve"> (Notice ARC 9638B,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0365C</w:t>
      </w:r>
      <w:r>
        <w:rPr>
          <w:rFonts w:ascii="Times New Roman" w:hAnsi="Times New Roman"/>
          <w:b w:val="false"/>
          <w:i w:val="false"/>
          <w:color w:val="000000"/>
          <w:sz w:val="21"/>
        </w:rPr>
        <w:t xml:space="preserve"> (Notice ARC 0227C, IAB 7/25/12)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1926C</w:t>
      </w:r>
      <w:r>
        <w:rPr>
          <w:rFonts w:ascii="Times New Roman" w:hAnsi="Times New Roman"/>
          <w:b w:val="false"/>
          <w:i w:val="false"/>
          <w:color w:val="000000"/>
          <w:sz w:val="21"/>
        </w:rPr>
        <w:t xml:space="preserve"> (Notice ARC 1745C, IAB 12/10/14; </w:t>
      </w:r>
      <w:r>
        <w:rPr>
          <w:rFonts w:ascii="Times New Roman" w:hAnsi="Times New Roman"/>
          <w:b w:val="false"/>
          <w:i w:val="false"/>
          <w:color w:val="000000"/>
          <w:sz w:val="21"/>
        </w:rPr>
        <w:t>Amended Notice ARC 1814C, IAB 1/7/15)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4706C</w:t>
      </w:r>
      <w:r>
        <w:rPr>
          <w:rFonts w:ascii="Times New Roman" w:hAnsi="Times New Roman"/>
          <w:b w:val="false"/>
          <w:i w:val="false"/>
          <w:color w:val="000000"/>
          <w:sz w:val="21"/>
        </w:rPr>
        <w:t xml:space="preserve"> (Notice ARC 4541C, IAB 7/17/19)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9499C</w:t>
      </w:r>
      <w:r>
        <w:rPr>
          <w:rFonts w:ascii="Times New Roman" w:hAnsi="Times New Roman"/>
          <w:b w:val="false"/>
          <w:i w:val="false"/>
          <w:color w:val="000000"/>
          <w:sz w:val="21"/>
        </w:rPr>
        <w:t xml:space="preserve"> (Notice ARC 9376C, IAB 6/25/25)</w:t>
      </w:r>
      <w:r>
        <w:rPr>
          <w:rFonts w:ascii="Times New Roman" w:hAnsi="Times New Roman"/>
          <w:b w:val="false"/>
          <w:i w:val="false"/>
          <w:color w:val="000000"/>
          <w:sz w:val="21"/>
        </w:rPr>
        <w:t>, IAB 8/20/25, effective 10/1/25]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Ch 3 delayed by the Administrative Rules Review Committee 70 days from 8/2/78.</w:t>
      </w:r>
      <w:r>
        <w:br/>
      </w:r>
      <w:r>
        <w:rPr>
          <w:rFonts w:ascii="Times New Roman" w:hAnsi="Times New Roman"/>
          <w:b w:val="false"/>
          <w:i w:val="false"/>
          <w:color w:val="000000"/>
          <w:sz w:val="22"/>
        </w:rPr>
        <w:t>Delay suspended by the Administrative Rules Review Committee at their meeting held on 9/11/78.</w:t>
      </w:r>
    </w:p>
    <w:p>
      <w:pPr>
        <w:pBdr>
          <w:bottom w:space="2"/>
        </w:pBdr>
        <w:spacing w:before="0" w:after="0"/>
        <w:ind w:left="120"/>
        <w:jc w:val="both"/>
      </w:pPr>
      <w:r>
        <w:rPr>
          <w:rFonts w:ascii="Times New Roman" w:hAnsi="Times New Roman"/>
          <w:b w:val="false"/>
          <w:i w:val="false"/>
          <w:color w:val="000000"/>
          <w:sz w:val="22"/>
        </w:rPr>
        <w:t>Effective date of 643—3.35(125) delayed 70 days by the Administrative Rules Review Committee at its meeting held April 11, 1994; on June 15, 1994, the Committee voted to delay the rule until adjournment of the 1995 General Assembly.</w:t>
      </w:r>
    </w:p>
    <w:sectPr>
      <w:footerReference r:id="rId8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pdf" Type="http://schemas.openxmlformats.org/officeDocument/2006/relationships/hyperlink" Id="rId5"/>
    <Relationship TargetMode="External" Target="https://www.legis.iowa.gov/docs/ico/chapter/124.101.pdf" Type="http://schemas.openxmlformats.org/officeDocument/2006/relationships/hyperlink" Id="rId6"/>
    <Relationship TargetMode="External" Target="https://www.legis.iowa.gov/docs/iac/rule/641.155.21.pdf" Type="http://schemas.openxmlformats.org/officeDocument/2006/relationships/hyperlink" Id="rId7"/>
    <Relationship TargetMode="External" Target="https://www.legis.iowa.gov/docs/iac/rule/641.155.2.pdf" Type="http://schemas.openxmlformats.org/officeDocument/2006/relationships/hyperlink" Id="rId8"/>
    <Relationship TargetMode="External" Target="https://www.legis.iowa.gov/docs/iac/rule/641.155.34.pdf" Type="http://schemas.openxmlformats.org/officeDocument/2006/relationships/hyperlink" Id="rId9"/>
    <Relationship TargetMode="External" Target="https://www.legis.iowa.gov/docs/iac/rule/641.155.2.pdf" Type="http://schemas.openxmlformats.org/officeDocument/2006/relationships/hyperlink" Id="rId10"/>
    <Relationship TargetMode="External" Target="https://www.legis.iowa.gov/docs/iac/rule/641.155.34.pdf" Type="http://schemas.openxmlformats.org/officeDocument/2006/relationships/hyperlink" Id="rId11"/>
    <Relationship TargetMode="External" Target="https://www.legis.iowa.gov/docs/ico/chapter/125.13.pdf" Type="http://schemas.openxmlformats.org/officeDocument/2006/relationships/hyperlink" Id="rId12"/>
    <Relationship TargetMode="External" Target="https://www.legis.iowa.gov/docs/ico/chapter/135B.pdf" Type="http://schemas.openxmlformats.org/officeDocument/2006/relationships/hyperlink" Id="rId13"/>
    <Relationship TargetMode="External" Target="https://www.legis.iowa.gov/docs/ico/chapter/226.pdf" Type="http://schemas.openxmlformats.org/officeDocument/2006/relationships/hyperlink" Id="rId14"/>
    <Relationship TargetMode="External" Target="https://www.legis.iowa.gov/docs/ico/chapter/148.pdf" Type="http://schemas.openxmlformats.org/officeDocument/2006/relationships/hyperlink" Id="rId15"/>
    <Relationship TargetMode="External" Target="https://www.legis.iowa.gov/docs/ico/chapter/125.21.pdf" Type="http://schemas.openxmlformats.org/officeDocument/2006/relationships/hyperlink" Id="rId16"/>
    <Relationship TargetMode="External" Target="https://www.legis.iowa.gov/docs/iac/rule/641.155.2.pdf" Type="http://schemas.openxmlformats.org/officeDocument/2006/relationships/hyperlink" Id="rId17"/>
    <Relationship TargetMode="External" Target="https://www.legis.iowa.gov/docs/iac/rule/641.155.35.pdf" Type="http://schemas.openxmlformats.org/officeDocument/2006/relationships/hyperlink" Id="rId18"/>
    <Relationship TargetMode="External" Target="https://www.legis.iowa.gov/docs/ico/chapter/321J.pdf" Type="http://schemas.openxmlformats.org/officeDocument/2006/relationships/hyperlink" Id="rId19"/>
    <Relationship TargetMode="External" Target="https://www.legis.iowa.gov/docs/iac/rule/641.155.2.pdf" Type="http://schemas.openxmlformats.org/officeDocument/2006/relationships/hyperlink" Id="rId20"/>
    <Relationship TargetMode="External" Target="https://www.legis.iowa.gov/docs/ico/chapter/514C.34.pdf" Type="http://schemas.openxmlformats.org/officeDocument/2006/relationships/hyperlink" Id="rId21"/>
    <Relationship TargetMode="External" Target="https://www.legis.iowa.gov/docs/ico/chapter/125.13.pdf" Type="http://schemas.openxmlformats.org/officeDocument/2006/relationships/hyperlink" Id="rId22"/>
    <Relationship TargetMode="External" Target="https://www.legis.iowa.gov/docs/ico/chapter/135.150.pdf" Type="http://schemas.openxmlformats.org/officeDocument/2006/relationships/hyperlink" Id="rId23"/>
    <Relationship TargetMode="External" Target="https://www.legis.iowa.gov/docs/ico/chapter/125.pdf" Type="http://schemas.openxmlformats.org/officeDocument/2006/relationships/hyperlink" Id="rId24"/>
    <Relationship TargetMode="External" Target="https://www.legis.iowa.gov/docs/ico/chapter/135.150.pdf" Type="http://schemas.openxmlformats.org/officeDocument/2006/relationships/hyperlink" Id="rId25"/>
    <Relationship TargetMode="External" Target="https://www.legis.iowa.gov/docs/ico/chapter/125.14A.pdf" Type="http://schemas.openxmlformats.org/officeDocument/2006/relationships/hyperlink" Id="rId26"/>
    <Relationship TargetMode="External" Target="https://www.legis.iowa.gov/docs/iac/rule/641.155.9.pdf" Type="http://schemas.openxmlformats.org/officeDocument/2006/relationships/hyperlink" Id="rId27"/>
    <Relationship TargetMode="External" Target="https://www.legis.iowa.gov/docs/iac/rule/641.155.16.pdf" Type="http://schemas.openxmlformats.org/officeDocument/2006/relationships/hyperlink" Id="rId28"/>
    <Relationship TargetMode="External" Target="https://www.legis.iowa.gov/docs/iac/rule/641.155.10.pdf" Type="http://schemas.openxmlformats.org/officeDocument/2006/relationships/hyperlink" Id="rId29"/>
    <Relationship TargetMode="External" Target="https://www.legis.iowa.gov/docs/iac/chapter/441.16.pdf" Type="http://schemas.openxmlformats.org/officeDocument/2006/relationships/hyperlink" Id="rId30"/>
    <Relationship TargetMode="External" Target="https://www.legis.iowa.gov/docs/iac/rule/641.155.9.pdf" Type="http://schemas.openxmlformats.org/officeDocument/2006/relationships/hyperlink" Id="rId31"/>
    <Relationship TargetMode="External" Target="https://www.legis.iowa.gov/docs/iac/chapter/441.16.pdf" Type="http://schemas.openxmlformats.org/officeDocument/2006/relationships/hyperlink" Id="rId32"/>
    <Relationship TargetMode="External" Target="https://www.legis.iowa.gov/docs/ico/chapter/17A.18.pdf" Type="http://schemas.openxmlformats.org/officeDocument/2006/relationships/hyperlink" Id="rId33"/>
    <Relationship TargetMode="External" Target="https://www.legis.iowa.gov/docs/ico/chapter/125.15A.pdf" Type="http://schemas.openxmlformats.org/officeDocument/2006/relationships/hyperlink" Id="rId34"/>
    <Relationship TargetMode="External" Target="https://www.legis.iowa.gov/docs/ico/chapter/17A.18A.pdf" Type="http://schemas.openxmlformats.org/officeDocument/2006/relationships/hyperlink" Id="rId35"/>
    <Relationship TargetMode="External" Target="https://www.legis.iowa.gov/docs/ico/chapter/125.15A.pdf" Type="http://schemas.openxmlformats.org/officeDocument/2006/relationships/hyperlink" Id="rId36"/>
    <Relationship TargetMode="External" Target="https://www.legis.iowa.gov/docs/iac/chapter/441.2506.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ac/rule/641.155.11.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125.37.pdf" Type="http://schemas.openxmlformats.org/officeDocument/2006/relationships/hyperlink" Id="rId42"/>
    <Relationship TargetMode="External" Target="https://www.legis.iowa.gov/docs/iac/rule/641.155.11.pdf" Type="http://schemas.openxmlformats.org/officeDocument/2006/relationships/hyperlink" Id="rId43"/>
    <Relationship TargetMode="External" Target="https://www.legis.iowa.gov/docs/iac/rule/641.155.11.pdf" Type="http://schemas.openxmlformats.org/officeDocument/2006/relationships/hyperlink" Id="rId44"/>
    <Relationship TargetMode="External" Target="https://www.legis.iowa.gov/docs/ico/chapter/22.pdf" Type="http://schemas.openxmlformats.org/officeDocument/2006/relationships/hyperlink" Id="rId45"/>
    <Relationship TargetMode="External" Target="https://www.legis.iowa.gov/docs/ico/chapter/504.pdf" Type="http://schemas.openxmlformats.org/officeDocument/2006/relationships/hyperlink" Id="rId46"/>
    <Relationship TargetMode="External" Target="https://www.legis.iowa.gov/docs/ico/chapter/154D.pdf" Type="http://schemas.openxmlformats.org/officeDocument/2006/relationships/hyperlink" Id="rId47"/>
    <Relationship TargetMode="External" Target="https://www.legis.iowa.gov/docs/ico/chapter/147.pdf" Type="http://schemas.openxmlformats.org/officeDocument/2006/relationships/hyperlink" Id="rId48"/>
    <Relationship TargetMode="External" Target="https://www.legis.iowa.gov/docs/ico/chapter/154C.pdf" Type="http://schemas.openxmlformats.org/officeDocument/2006/relationships/hyperlink" Id="rId49"/>
    <Relationship TargetMode="External" Target="https://www.legis.iowa.gov/docs/ico/chapter/147.pdf" Type="http://schemas.openxmlformats.org/officeDocument/2006/relationships/hyperlink" Id="rId50"/>
    <Relationship TargetMode="External" Target="https://www.legis.iowa.gov/docs/ico/chapter/154C.pdf" Type="http://schemas.openxmlformats.org/officeDocument/2006/relationships/hyperlink" Id="rId51"/>
    <Relationship TargetMode="External" Target="https://www.legis.iowa.gov/docs/ico/chapter/147.pdf" Type="http://schemas.openxmlformats.org/officeDocument/2006/relationships/hyperlink" Id="rId52"/>
    <Relationship TargetMode="External" Target="https://www.legis.iowa.gov/docs/ico/chapter/154C.pdf" Type="http://schemas.openxmlformats.org/officeDocument/2006/relationships/hyperlink" Id="rId53"/>
    <Relationship TargetMode="External" Target="https://www.legis.iowa.gov/docs/ico/chapter/147.pdf" Type="http://schemas.openxmlformats.org/officeDocument/2006/relationships/hyperlink" Id="rId54"/>
    <Relationship TargetMode="External" Target="https://www.legis.iowa.gov/docs/iac/rule/641.155.21.pdf" Type="http://schemas.openxmlformats.org/officeDocument/2006/relationships/hyperlink" Id="rId55"/>
    <Relationship TargetMode="External" Target="https://www.legis.iowa.gov/docs/ico/chapter/232.67.pdf" Type="http://schemas.openxmlformats.org/officeDocument/2006/relationships/hyperlink" Id="rId56"/>
    <Relationship TargetMode="External" Target="https://www.legis.iowa.gov/docs/ico/chapter/232.70.pdf" Type="http://schemas.openxmlformats.org/officeDocument/2006/relationships/hyperlink" Id="rId57"/>
    <Relationship TargetMode="External" Target="https://www.legis.iowa.gov/docs/ico/chapter/125.14A.pdf" Type="http://schemas.openxmlformats.org/officeDocument/2006/relationships/hyperlink" Id="rId58"/>
    <Relationship TargetMode="External" Target="https://www.legis.iowa.gov/docs/ico/chapter/235B.pdf" Type="http://schemas.openxmlformats.org/officeDocument/2006/relationships/hyperlink" Id="rId59"/>
    <Relationship TargetMode="External" Target="https://www.legis.iowa.gov/docs/ico/chapter/125.14A.pdf" Type="http://schemas.openxmlformats.org/officeDocument/2006/relationships/hyperlink" Id="rId60"/>
    <Relationship TargetMode="External" Target="https://www.legis.iowa.gov/docs/ico/chapter/235B.pdf" Type="http://schemas.openxmlformats.org/officeDocument/2006/relationships/hyperlink" Id="rId61"/>
    <Relationship TargetMode="External" Target="https://www.legis.iowa.gov/docs/ico/chapter/232.69.pdf" Type="http://schemas.openxmlformats.org/officeDocument/2006/relationships/hyperlink" Id="rId62"/>
    <Relationship TargetMode="External" Target="https://www.legis.iowa.gov/docs/ico/chapter/235B.16.pdf" Type="http://schemas.openxmlformats.org/officeDocument/2006/relationships/hyperlink" Id="rId63"/>
    <Relationship TargetMode="External" Target="https://www.legis.iowa.gov/docs/ico/chapter/228.pdf" Type="http://schemas.openxmlformats.org/officeDocument/2006/relationships/hyperlink" Id="rId64"/>
    <Relationship TargetMode="External" Target="https://www.legis.iowa.gov/docs/ico/chapter/22.7.pdf" Type="http://schemas.openxmlformats.org/officeDocument/2006/relationships/hyperlink" Id="rId65"/>
    <Relationship TargetMode="External" Target="https://www.legis.iowa.gov/docs/iac/rule/641.157.3.pdf" Type="http://schemas.openxmlformats.org/officeDocument/2006/relationships/hyperlink" Id="rId66"/>
    <Relationship TargetMode="External" Target="https://www.legis.iowa.gov/docs/ico/chapter/321J.pdf" Type="http://schemas.openxmlformats.org/officeDocument/2006/relationships/hyperlink" Id="rId67"/>
    <Relationship TargetMode="External" Target="https://www.legis.iowa.gov/docs/ico/chapter/104A.pdf" Type="http://schemas.openxmlformats.org/officeDocument/2006/relationships/hyperlink" Id="rId68"/>
    <Relationship TargetMode="External" Target="https://www.legis.iowa.gov/docs/iac/chapter/481.30.pdf" Type="http://schemas.openxmlformats.org/officeDocument/2006/relationships/hyperlink" Id="rId69"/>
    <Relationship TargetMode="External" Target="https://www.legis.iowa.gov/docs/ico/chapter/137F.pdf" Type="http://schemas.openxmlformats.org/officeDocument/2006/relationships/hyperlink" Id="rId70"/>
    <Relationship TargetMode="External" Target="https://www.legis.iowa.gov/docs/iac/chapter/441.115.pdf" Type="http://schemas.openxmlformats.org/officeDocument/2006/relationships/hyperlink" Id="rId71"/>
    <Relationship TargetMode="External" Target="https://www.legis.iowa.gov/docs/ico/chapter/321J.2.pdf" Type="http://schemas.openxmlformats.org/officeDocument/2006/relationships/hyperlink" Id="rId72"/>
    <Relationship TargetMode="External" Target="https://www.legis.iowa.gov/docs/ico/chapter/321J.pdf" Type="http://schemas.openxmlformats.org/officeDocument/2006/relationships/hyperlink" Id="rId73"/>
    <Relationship TargetMode="External" Target="https://www.legis.iowa.gov/docs/iac/chapter/641.157.pdf" Type="http://schemas.openxmlformats.org/officeDocument/2006/relationships/hyperlink" Id="rId74"/>
    <Relationship TargetMode="External" Target="https://www.legis.iowa.gov/docs/iac/rule/641.155.21.pdf" Type="http://schemas.openxmlformats.org/officeDocument/2006/relationships/hyperlink" Id="rId75"/>
    <Relationship TargetMode="External" Target="https://www.legis.iowa.gov/docs/iac/rule/641.155.38.pdf" Type="http://schemas.openxmlformats.org/officeDocument/2006/relationships/hyperlink" Id="rId76"/>
    <Relationship TargetMode="External" Target="https://www.legis.iowa.gov/docs/ico/chapter/125.13.pdf" Type="http://schemas.openxmlformats.org/officeDocument/2006/relationships/hyperlink" Id="rId77"/>
    <Relationship TargetMode="External" Target="https://www.legis.iowa.gov/docs/ico/chapter/125.21.pdf" Type="http://schemas.openxmlformats.org/officeDocument/2006/relationships/hyperlink" Id="rId78"/>
    <Relationship TargetMode="External" Target="https://www.legis.iowa.gov/docs/ico/chapter/135.150.pdf" Type="http://schemas.openxmlformats.org/officeDocument/2006/relationships/hyperlink" Id="rId79"/>
    <Relationship Target="footer.xml" Type="http://schemas.openxmlformats.org/officeDocument/2006/relationships/footer" Id="rId8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