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140</w:t>
      </w:r>
    </w:p>
    <w:p>
      <w:pPr>
        <w:spacing w:before="0" w:after="0"/>
        <w:ind w:left="120"/>
        <w:jc w:val="center"/>
      </w:pPr>
      <w:r>
        <w:rPr>
          <w:rFonts w:ascii="Times New Roman" w:hAnsi="Times New Roman"/>
          <w:b w:val="false"/>
          <w:i w:val="false"/>
          <w:color w:val="000000"/>
          <w:sz w:val="21"/>
        </w:rPr>
        <w:t>EMERGENCY MEDICAL SERVICES SYSTEM DEVELOPMENT GRANTS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641—140.1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service”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“CEHs”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EMS association” </w:t>
      </w:r>
      <w:r>
        <w:rPr>
          <w:rFonts w:ascii="Times New Roman" w:hAnsi="Times New Roman"/>
          <w:b w:val="false"/>
          <w:i w:val="false"/>
          <w:color w:val="000000"/>
          <w:sz w:val="22"/>
        </w:rPr>
        <w:t>means a countywide group of EMS providers and various agency and organization representatives and consumers who provide leadership for the local EMS system on needs and objectives. The county EMS association should also include representatives of services located in a neighboring county if service is provided on a regular basis to residents of the county receiving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course” </w:t>
      </w:r>
      <w:r>
        <w:rPr>
          <w:rFonts w:ascii="Times New Roman" w:hAnsi="Times New Roman"/>
          <w:b w:val="false"/>
          <w:i w:val="false"/>
          <w:color w:val="000000"/>
          <w:sz w:val="22"/>
        </w:rPr>
        <w:t xml:space="preserve">means a course for emergency medical care personnel pursuant to Iowa Code section </w:t>
      </w:r>
      <w:hyperlink r:id="rId10">
        <w:r>
          <w:rPr>
            <w:rStyle w:val="Hyperlink"/>
            <w:rFonts w:ascii="Times New Roman" w:hAnsi="Times New Roman"/>
            <w:b w:val="false"/>
            <w:i w:val="false"/>
            <w:color w:val="000000"/>
            <w:sz w:val="22"/>
          </w:rPr>
          <w:t>147A.4(2)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those elements that make up an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 xml:space="preserve">means nontransport service as defined in </w:t>
      </w:r>
      <w:hyperlink r:id="rId11">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EMS council” </w:t>
      </w:r>
      <w:r>
        <w:rPr>
          <w:rFonts w:ascii="Times New Roman" w:hAnsi="Times New Roman"/>
          <w:b w:val="false"/>
          <w:i w:val="false"/>
          <w:color w:val="000000"/>
          <w:sz w:val="22"/>
        </w:rPr>
        <w:t>means a multicounty nonprofit corporation whose purpose is to facilitate EMS development on a regional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means service program as defined in Iowa Code section </w:t>
      </w:r>
      <w:hyperlink r:id="rId12">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“Strategic plan” </w:t>
      </w:r>
      <w:r>
        <w:rPr>
          <w:rFonts w:ascii="Times New Roman" w:hAnsi="Times New Roman"/>
          <w:b w:val="false"/>
          <w:i w:val="false"/>
          <w:color w:val="000000"/>
          <w:sz w:val="22"/>
        </w:rPr>
        <w:t>means a document produced via a multiagency effort to evaluate and define needs and goals to improve the local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means EMS-related courses designed and intended for EMS providers and includes any item used in training, including but not limited to slides, films, mannequins, emergency care devices, books and other items pertinent and necessary for training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641—140.2</w:t>
      </w:r>
      <w:r>
        <w:rPr>
          <w:rFonts w:ascii="Times New Roman" w:hAnsi="Times New Roman"/>
          <w:b/>
          <w:i w:val="false"/>
          <w:color w:val="000000"/>
          <w:sz w:val="22"/>
        </w:rPr>
        <w:t xml:space="preserve">(135) </w:t>
      </w:r>
      <w:r>
        <w:rPr>
          <w:rFonts w:ascii="Times New Roman" w:hAnsi="Times New Roman"/>
          <w:b/>
          <w:i w:val="false"/>
          <w:color w:val="000000"/>
          <w:sz w:val="22"/>
        </w:rPr>
        <w:t xml:space="preserve">County EMS associations. </w:t>
      </w:r>
      <w:r>
        <w:rPr>
          <w:rFonts w:ascii="Times New Roman" w:hAnsi="Times New Roman"/>
          <w:b w:val="false"/>
          <w:i w:val="false"/>
          <w:color w:val="000000"/>
          <w:sz w:val="22"/>
        </w:rPr>
        <w:t>Each county will have a county EMS association, council or board to develop and maintain the countywide EMS system strategic plan and to provide leadership on related EMS system development funding needs and objectives.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641—140.3</w:t>
      </w:r>
      <w:r>
        <w:rPr>
          <w:rFonts w:ascii="Times New Roman" w:hAnsi="Times New Roman"/>
          <w:b/>
          <w:i w:val="false"/>
          <w:color w:val="000000"/>
          <w:sz w:val="22"/>
        </w:rPr>
        <w:t xml:space="preserve">(135) </w:t>
      </w:r>
      <w:r>
        <w:rPr>
          <w:rFonts w:ascii="Times New Roman" w:hAnsi="Times New Roman"/>
          <w:b/>
          <w:i w:val="false"/>
          <w:color w:val="000000"/>
          <w:sz w:val="22"/>
        </w:rPr>
        <w:t xml:space="preserve">County EMS system development grants. </w:t>
      </w:r>
      <w:r>
        <w:rPr>
          <w:rFonts w:ascii="Times New Roman" w:hAnsi="Times New Roman"/>
          <w:b w:val="false"/>
          <w:i w:val="false"/>
          <w:color w:val="000000"/>
          <w:sz w:val="22"/>
        </w:rPr>
        <w:t>Grants for EMS system development proposals at the regional, county, and local level are available through a grant process from the department to county boards of supervisors or local boards of health for equipment, training, and support of infrastructure needs as identified in the countywide EMS strategic plan and the department system standards. County boards of supervisors or local boards of health shall not take any administrative fee from these funds to support their work under this rule. County recipients of funds may subcontract work under this agreement to a county EMS association. Funds for training will be used to train members of a service program that provides service on a regular basis to residents of the county being funded. Funds for equipment require a $1 match of regional, county, or local funds for each $1 of EMS system development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Costs  eligible for EMS system development grant expenditures as defined in the request for proposal (RFP)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for initial training tuition, fees and materials up to an amount that is the lowest fee charged by the training entity following successful completion of an EMS course. Practical and written examination fees may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of continuing education tuition, fees and materials. Education provided by an EMS program for the general public is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EMS training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equipment as defined by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Infrastructure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and enhancement of EMS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 equipment and supplies necessary to coordinate a countywide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Personnel services for staffing to provide countywide continuous quality improvement and medical direction.</w:t>
      </w:r>
    </w:p>
    <w:p>
      <w:pPr>
        <w:spacing w:before="0" w:after="0"/>
        <w:ind w:left="120"/>
        <w:jc w:val="both"/>
      </w:pPr>
      <w:r>
        <w:rPr>
          <w:rFonts w:ascii="Times New Roman" w:hAnsi="Times New Roman"/>
          <w:b w:val="false"/>
          <w:i w:val="false"/>
          <w:color w:val="000000"/>
          <w:sz w:val="22"/>
        </w:rPr>
        <w:t>The title to any EMS equipment purchased with these funds does not lie with the department but will be determined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140.3(2)</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Costs not eligible for funding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Certification/recertification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Building and construction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Debt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Vehicles including ambulances, fire apparatus, boats, rescue/first-response vehicles, snowmobiles and vehicle parts.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135.25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emergency 5/8/02—published 5/29/02, effective 5/8/02]</w:t>
      </w:r>
    </w:p>
    <w:p>
      <w:pPr>
        <w:spacing w:before="0" w:after="0"/>
        <w:ind w:left="120"/>
        <w:jc w:val="center"/>
      </w:pPr>
      <w:r>
        <w:rPr>
          <w:rFonts w:ascii="Times New Roman" w:hAnsi="Times New Roman"/>
          <w:b w:val="false"/>
          <w:i w:val="false"/>
          <w:color w:val="000000"/>
          <w:sz w:val="21"/>
        </w:rPr>
        <w:t>[Filed 7/18/02, Notice 5/29/02—published 8/7/02, effective 9/11/02]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0756C</w:t>
      </w:r>
      <w:r>
        <w:rPr>
          <w:rFonts w:ascii="Times New Roman" w:hAnsi="Times New Roman"/>
          <w:b w:val="false"/>
          <w:i w:val="false"/>
          <w:color w:val="000000"/>
          <w:sz w:val="21"/>
        </w:rPr>
        <w:t xml:space="preserve"> (Notice ARC 0654C,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9080C</w:t>
      </w:r>
      <w:r>
        <w:rPr>
          <w:rFonts w:ascii="Times New Roman" w:hAnsi="Times New Roman"/>
          <w:b w:val="false"/>
          <w:i w:val="false"/>
          <w:color w:val="000000"/>
          <w:sz w:val="21"/>
        </w:rPr>
        <w:t xml:space="preserve"> (Notice ARC 8542C, IAB 12/11/24)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ac/rule/641.131.1.pdf" Type="http://schemas.openxmlformats.org/officeDocument/2006/relationships/hyperlink" Id="rId6"/>
    <Relationship TargetMode="External" Target="https://www.legis.iowa.gov/docs/iac/rule/641.131.1.pdf" Type="http://schemas.openxmlformats.org/officeDocument/2006/relationships/hyperlink" Id="rId7"/>
    <Relationship TargetMode="External" Target="https://www.legis.iowa.gov/docs/ico/chapter/147A.1.pdf" Type="http://schemas.openxmlformats.org/officeDocument/2006/relationships/hyperlink" Id="rId8"/>
    <Relationship TargetMode="External" Target="https://www.legis.iowa.gov/docs/ico/chapter/147A.1.pdf" Type="http://schemas.openxmlformats.org/officeDocument/2006/relationships/hyperlink" Id="rId9"/>
    <Relationship TargetMode="External" Target="https://www.legis.iowa.gov/docs/ico/chapter/147A.4.pdf" Type="http://schemas.openxmlformats.org/officeDocument/2006/relationships/hyperlink" Id="rId10"/>
    <Relationship TargetMode="External" Target="https://www.legis.iowa.gov/docs/iac/rule/641.132.1.pdf" Type="http://schemas.openxmlformats.org/officeDocument/2006/relationships/hyperlink" Id="rId11"/>
    <Relationship TargetMode="External" Target="https://www.legis.iowa.gov/docs/ico/chapter/147A.1.pdf" Type="http://schemas.openxmlformats.org/officeDocument/2006/relationships/hyperlink" Id="rId12"/>
    <Relationship TargetMode="External" Target="https://www.legis.iowa.gov/docs/ico/chapter/135.2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