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139</w:t>
      </w:r>
    </w:p>
    <w:p>
      <w:pPr>
        <w:spacing w:before="0" w:after="0"/>
        <w:ind w:left="120"/>
        <w:jc w:val="center"/>
      </w:pPr>
      <w:r>
        <w:rPr>
          <w:rFonts w:ascii="Times New Roman" w:hAnsi="Times New Roman"/>
          <w:b w:val="false"/>
          <w:i w:val="false"/>
          <w:color w:val="000000"/>
          <w:sz w:val="21"/>
        </w:rPr>
        <w:t xml:space="preserve">EMERGENCY MEDICAL SERVICES—TRAINING </w:t>
      </w:r>
      <w:r>
        <w:br/>
      </w:r>
      <w:r>
        <w:rPr>
          <w:rFonts w:ascii="Times New Roman" w:hAnsi="Times New Roman"/>
          <w:b w:val="false"/>
          <w:i w:val="false"/>
          <w:color w:val="000000"/>
          <w:sz w:val="21"/>
        </w:rPr>
        <w:t>PROGRAMS—STUDENTS—COMPLAINTS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641—139.1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“CAAHEP”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“CoAEMSP”</w:t>
      </w:r>
      <w:r>
        <w:rPr>
          <w:rFonts w:ascii="Times New Roman" w:hAnsi="Times New Roman"/>
          <w:b w:val="false"/>
          <w:i w:val="false"/>
          <w:color w:val="000000"/>
          <w:sz w:val="22"/>
        </w:rPr>
        <w:t> </w:t>
      </w:r>
      <w:r>
        <w:rPr>
          <w:rFonts w:ascii="Times New Roman" w:hAnsi="Times New Roman"/>
          <w:b w:val="false"/>
          <w:i w:val="false"/>
          <w:color w:val="000000"/>
          <w:sz w:val="22"/>
        </w:rPr>
        <w:t>means Committee on Accreditation for the EMS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completion date”</w:t>
      </w:r>
      <w:r>
        <w:rPr>
          <w:rFonts w:ascii="Times New Roman" w:hAnsi="Times New Roman"/>
          <w:b w:val="false"/>
          <w:i w:val="false"/>
          <w:color w:val="000000"/>
          <w:sz w:val="22"/>
        </w:rPr>
        <w:t> </w:t>
      </w:r>
      <w:r>
        <w:rPr>
          <w:rFonts w:ascii="Times New Roman" w:hAnsi="Times New Roman"/>
          <w:b w:val="false"/>
          <w:i w:val="false"/>
          <w:color w:val="000000"/>
          <w:sz w:val="22"/>
        </w:rPr>
        <w:t>means the date of the final classroom session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coordinator”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been assigned by the training program to coordinate the activities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enrolled in an EMS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evaluator”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evaluator curriculum approved by the department and is currently endorsed by the department as an EMS-E.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training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offered by an Iowa college approved by the Higher Learning Commission, an Iowa hospital, or a service program that has received authorization from the department to conduct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“Higher Learning Commission”</w:t>
      </w:r>
      <w:r>
        <w:rPr>
          <w:rFonts w:ascii="Times New Roman" w:hAnsi="Times New Roman"/>
          <w:b w:val="false"/>
          <w:i w:val="false"/>
          <w:color w:val="000000"/>
          <w:sz w:val="22"/>
        </w:rPr>
        <w:t> </w:t>
      </w:r>
      <w:r>
        <w:rPr>
          <w:rFonts w:ascii="Times New Roman" w:hAnsi="Times New Roman"/>
          <w:b w:val="false"/>
          <w:i w:val="false"/>
          <w:color w:val="000000"/>
          <w:sz w:val="22"/>
        </w:rPr>
        <w:t>means the independent corporation that accredits degree-granting postsecondary institutions in the north central region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participating in clinical or field experience as a student in an approved out-of-state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an EMS training program located outside the state of Iowa that is approved by the authorizing agency of the program’s home state to conduct initial EMS training for EMR, EMT, AEMT, paramedic or other levels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“Outreach course coordinator”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assigned by the training program to coordinate the activities of an emergency medical care provider course held outside the training program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2">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2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assigned by the training program, clinical facility or service program to supervise EMS students while the students are completing their clinical or field experience. A preceptor shall be an emergency medical care provider certified at the level at which the preceptor is providing supervision or at a higher level or be licensed as a physician, physician associate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responsible for teaching the majority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 director”</w:t>
      </w:r>
      <w:r>
        <w:rPr>
          <w:rFonts w:ascii="Times New Roman" w:hAnsi="Times New Roman"/>
          <w:b w:val="false"/>
          <w:i w:val="false"/>
          <w:color w:val="000000"/>
          <w:sz w:val="22"/>
        </w:rPr>
        <w:t> </w:t>
      </w:r>
      <w:r>
        <w:rPr>
          <w:rFonts w:ascii="Times New Roman" w:hAnsi="Times New Roman"/>
          <w:b w:val="false"/>
          <w:i w:val="false"/>
          <w:color w:val="000000"/>
          <w:sz w:val="22"/>
        </w:rPr>
        <w:t>means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 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licensed under Iowa Code chapter </w:t>
      </w:r>
      <w:hyperlink r:id="rId2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providing medical oversight to an EMS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application, 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seeking initial authorization as an EMS training program shall complete and submit to the department an Iowa EMS training program self-assessment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perform an on-site inspection of the applicant’s facilities and clinical resources. The purpose of the inspection is to examine educational objectives, patient care practices, facilities and administrative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training program’s initial authorization is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training program seeking renewal as an EMS training program shall complete and submit to the department the Iowa EMS training program self-assessment renewal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EMS training program renewal applications will be submitted at least 90 days before the end of the current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complete an on-site inspection and review the self-assessment prior to the end of the current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the on-site inspection, the department will provide the training program a renewal application report detailing the status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authorize the training program or determine timelines for the correction of deficiencies in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deficiencies are not corrected within the time period established by the department, the training program is subject to disciplinary action as described in rule </w:t>
      </w:r>
      <w:hyperlink r:id="rId28">
        <w:r>
          <w:rPr>
            <w:rStyle w:val="Hyperlink"/>
            <w:rFonts w:ascii="Times New Roman" w:hAnsi="Times New Roman"/>
            <w:b w:val="false"/>
            <w:i w:val="false"/>
            <w:color w:val="000000"/>
            <w:sz w:val="22"/>
          </w:rPr>
          <w:t>641—139.8</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training program’s approved renewal authorization will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641—139.3</w:t>
      </w:r>
      <w:r>
        <w:rPr>
          <w:rFonts w:ascii="Times New Roman" w:hAnsi="Times New Roman"/>
          <w:b/>
          <w:i w:val="false"/>
          <w:color w:val="000000"/>
          <w:sz w:val="22"/>
        </w:rPr>
        <w:t xml:space="preserve">(147A) </w:t>
      </w:r>
      <w:r>
        <w:rPr>
          <w:rFonts w:ascii="Times New Roman" w:hAnsi="Times New Roman"/>
          <w:b/>
          <w:i w:val="false"/>
          <w:color w:val="000000"/>
          <w:sz w:val="22"/>
        </w:rPr>
        <w:t xml:space="preserve">Training program standards, student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139.3(1)</w:t>
      </w:r>
      <w:r>
        <w:rPr>
          <w:rFonts w:ascii="Times New Roman" w:hAnsi="Times New Roman"/>
          <w:b w:val="false"/>
          <w:i w:val="false"/>
          <w:color w:val="000000"/>
          <w:sz w:val="22"/>
        </w:rPr>
        <w:t> </w:t>
      </w:r>
      <w:r>
        <w:rPr>
          <w:rFonts w:ascii="Times New Roman" w:hAnsi="Times New Roman"/>
          <w:b w:val="false"/>
          <w:i/>
          <w:color w:val="000000"/>
          <w:sz w:val="22"/>
        </w:rPr>
        <w:t xml:space="preserve">Education standards. </w:t>
      </w:r>
      <w:r>
        <w:rPr>
          <w:rFonts w:ascii="Times New Roman" w:hAnsi="Times New Roman"/>
          <w:b w:val="false"/>
          <w:i w:val="false"/>
          <w:color w:val="000000"/>
          <w:sz w:val="22"/>
        </w:rPr>
        <w:t>A training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sponsoring institution that has received authorization from the department to conduct emergency medical care services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the U.S. Department of Transportation’s National Emergency Medical Services Education Standards (December 2021) for any courses leading to Iowa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Iowa CCP curriculum (January 2024) for courses leading to the CCP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accredited by CAAHEP or have a letter of review from CoAEMSP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equivalent training and what portions of any course have been waived for equivalency. A training program may waive portions of the required emergency medical care provider training for students currently certified as emergency medical care providers or licensed in other health care professions, including but not limited to physician, nursing, physician associate, respiratory therapist, dentistry, and military.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139.3(2)</w:t>
      </w:r>
      <w:r>
        <w:rPr>
          <w:rFonts w:ascii="Times New Roman" w:hAnsi="Times New Roman"/>
          <w:b w:val="false"/>
          <w:i w:val="false"/>
          <w:color w:val="000000"/>
          <w:sz w:val="22"/>
        </w:rPr>
        <w:t> </w:t>
      </w:r>
      <w:r>
        <w:rPr>
          <w:rFonts w:ascii="Times New Roman" w:hAnsi="Times New Roman"/>
          <w:b w:val="false"/>
          <w:i/>
          <w:color w:val="000000"/>
          <w:sz w:val="22"/>
        </w:rPr>
        <w:t xml:space="preserve">Clinical or field experience resources.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mechanism to clearly identify students in the clinical or field setting,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clinical experiences available are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clinical affiliations that are outside of the sponsoring training program are established and confirmed in written agreements with institutions or agencies that provide clinical experience under appropriate medical direction and clinical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allow students to perform skills and procedures in the clinical or field setting for which the students have received training with direct supervision by a preceptor designated and approved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director who is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medical director who shall, at a minimum, review the educational content of each training program curriculum, evaluate the quality of medical instruction, and supervise delivery of the curriculum by the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qualified faculty through academic preparation, training, and experience to teach and evaluate the courses or topics to which they are assigned. At a minimum, each course coordinator, outreach course coordinator, and primary instructor utilized by the training program shall be endorsed as an Iowa EMS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139.3(4)</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Training programs shall ensure that emergency medical care students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17 years of age on the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high school diploma or its equivalent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able to speak, write and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able to meet the minimum requirements for the department- or NREMT-approved testing requirements with reasonable and appropriate accommodations for those persons with documented disabilities, as required by the Americans with Disabilities Act (ADA)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at a minimum, as an EMT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 current emergency medical care provider, RN, PA, or physician when applying for the EMS instructor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139.3(5)</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defined processes for review of academic history, criminal history, and health-related issues for the admission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process to evaluate students on a recurring basis and with sufficient frequency to provide both the student and training program faculty with valid and timely indicators of the student’s progress and achievement of the competencies and objectives stated within the program’s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student guidance procedures that include documentation of regular and timely discussions with qualified faculty or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student records for each student enrolled in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 the NREMT of each student’s successful completion of a training course to ensure NREMT cognitive examination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Verify that a student completes all training program requirements before being eligible to attempt the department- or NREMT-approved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students only perform skills or procedures learned in the training program until an Iowa emergency medical care provider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a student is not substituted for the regular personnel of any affiliated medical facility or service program but may be employed while enrolled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139.3(6)</w:t>
      </w:r>
      <w:r>
        <w:rPr>
          <w:rFonts w:ascii="Times New Roman" w:hAnsi="Times New Roman"/>
          <w:b w:val="false"/>
          <w:i w:val="false"/>
          <w:color w:val="000000"/>
          <w:sz w:val="22"/>
        </w:rPr>
        <w:t> </w:t>
      </w:r>
      <w:r>
        <w:rPr>
          <w:rFonts w:ascii="Times New Roman" w:hAnsi="Times New Roman"/>
          <w:b w:val="false"/>
          <w:i/>
          <w:color w:val="000000"/>
          <w:sz w:val="22"/>
        </w:rPr>
        <w:t xml:space="preserve">Financing and administration.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sufficient equipment and supplies to be used in the provision of instruction. The equipment and supplies shall be available and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sufficient classrooms, laboratories, and administrative offices and facility design to accommodate the number of students in the program and the supporting 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any change in ownership or control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liability insurance or offer liability insurance to enrolled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641—139.4</w:t>
      </w:r>
      <w:r>
        <w:rPr>
          <w:rFonts w:ascii="Times New Roman" w:hAnsi="Times New Roman"/>
          <w:b/>
          <w:i w:val="false"/>
          <w:color w:val="000000"/>
          <w:sz w:val="22"/>
        </w:rPr>
        <w:t xml:space="preserve">(147A) </w:t>
      </w:r>
      <w:r>
        <w:rPr>
          <w:rFonts w:ascii="Times New Roman" w:hAnsi="Times New Roman"/>
          <w:b/>
          <w:i w:val="false"/>
          <w:color w:val="000000"/>
          <w:sz w:val="22"/>
        </w:rPr>
        <w:t xml:space="preserve">Out-of-state training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139.4(1)</w:t>
      </w:r>
      <w:r>
        <w:rPr>
          <w:rFonts w:ascii="Times New Roman" w:hAnsi="Times New Roman"/>
          <w:b w:val="false"/>
          <w:i w:val="false"/>
          <w:color w:val="000000"/>
          <w:sz w:val="22"/>
        </w:rPr>
        <w:t> </w:t>
      </w:r>
      <w:r>
        <w:rPr>
          <w:rFonts w:ascii="Times New Roman" w:hAnsi="Times New Roman"/>
          <w:b w:val="false"/>
          <w:i/>
          <w:color w:val="000000"/>
          <w:sz w:val="22"/>
        </w:rPr>
        <w:t xml:space="preserve">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complete and submit to the department for review and approval the out-of-state training program self-assessment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program’s approval by the department shall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seeking initial or renewal approval must be accredited by CAAHEP or have a letter of review from CoAEMSP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be limited to utilization of clinical sites or field sites, or both,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authorized out-of-state training program shall provide the department with a current roster of students who will be participating in the clinical or field experience within the state of Iowa and, for each program, the sites where the students will be participating. This roster will be provided prior to commencement of any clinical or field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provide documentation of liability insurance for each student participating in the clinical or field setting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requirements may lead to disciplinary action or denial of utilization of clinical or field sites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an on-site inspection of the out-of-state training program’s facilities and clinical and field resources as part of the initial or renewal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inspections at times, at places and under such circumstances as it deems necessary to ensure compliance with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disciplinary action regarding training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training program may be required to meet with the department at the time the application and inspection report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written report of department action and the department inspection report will be sent to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in writing, of any change in ownership or control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641—139.5</w:t>
      </w:r>
      <w:r>
        <w:rPr>
          <w:rFonts w:ascii="Times New Roman" w:hAnsi="Times New Roman"/>
          <w:b/>
          <w:i w:val="false"/>
          <w:color w:val="000000"/>
          <w:sz w:val="22"/>
        </w:rPr>
        <w:t xml:space="preserve">(147A)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 xml:space="preserve">Failure of a training program to comply with these rules may result in disciplinary action according to rule </w:t>
      </w:r>
      <w:hyperlink r:id="rId30">
        <w:r>
          <w:rPr>
            <w:rStyle w:val="Hyperlink"/>
            <w:rFonts w:ascii="Times New Roman" w:hAnsi="Times New Roman"/>
            <w:b w:val="false"/>
            <w:i w:val="false"/>
            <w:color w:val="000000"/>
            <w:sz w:val="22"/>
          </w:rPr>
          <w:t>641—139.8</w:t>
        </w:r>
      </w:hyperlink>
      <w:r>
        <w:rPr>
          <w:rFonts w:ascii="Times New Roman" w:hAnsi="Times New Roman"/>
          <w:b w:val="false"/>
          <w:i w:val="false"/>
          <w:color w:val="000000"/>
          <w:sz w:val="22"/>
        </w:rPr>
        <w:t>(147A).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641—139.6</w:t>
      </w:r>
      <w:r>
        <w:rPr>
          <w:rFonts w:ascii="Times New Roman" w:hAnsi="Times New Roman"/>
          <w:b/>
          <w:i w:val="false"/>
          <w:color w:val="000000"/>
          <w:sz w:val="22"/>
        </w:rPr>
        <w:t xml:space="preserve">(147A) </w:t>
      </w:r>
      <w:r>
        <w:rPr>
          <w:rFonts w:ascii="Times New Roman" w:hAnsi="Times New Roman"/>
          <w:b/>
          <w:i w:val="false"/>
          <w:color w:val="000000"/>
          <w:sz w:val="22"/>
        </w:rPr>
        <w:t xml:space="preserve">Temporary waivers. </w:t>
      </w:r>
      <w:r>
        <w:rPr>
          <w:rFonts w:ascii="Times New Roman" w:hAnsi="Times New Roman"/>
          <w:b w:val="false"/>
          <w:i w:val="false"/>
          <w:color w:val="000000"/>
          <w:sz w:val="22"/>
        </w:rPr>
        <w:t>If during a period of authorization there is some occurrence that temporarily causes a training program to be in noncompliance with these rules, the department may grant a temporary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139.6(1)</w:t>
      </w:r>
      <w:r>
        <w:rPr>
          <w:rFonts w:ascii="Times New Roman" w:hAnsi="Times New Roman"/>
          <w:b w:val="false"/>
          <w:i w:val="false"/>
          <w:color w:val="000000"/>
          <w:sz w:val="22"/>
        </w:rPr>
        <w:t> </w:t>
      </w:r>
      <w:r>
        <w:rPr>
          <w:rFonts w:ascii="Times New Roman" w:hAnsi="Times New Roman"/>
          <w:b w:val="false"/>
          <w:i w:val="false"/>
          <w:color w:val="000000"/>
          <w:sz w:val="22"/>
        </w:rPr>
        <w:t>Waivers of these rules may be granted by the department to a currently authorized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139.6(2)</w:t>
      </w:r>
      <w:r>
        <w:rPr>
          <w:rFonts w:ascii="Times New Roman" w:hAnsi="Times New Roman"/>
          <w:b w:val="false"/>
          <w:i w:val="false"/>
          <w:color w:val="000000"/>
          <w:sz w:val="22"/>
        </w:rPr>
        <w:t> </w:t>
      </w:r>
      <w:r>
        <w:rPr>
          <w:rFonts w:ascii="Times New Roman" w:hAnsi="Times New Roman"/>
          <w:b w:val="false"/>
          <w:i w:val="false"/>
          <w:color w:val="000000"/>
          <w:sz w:val="22"/>
        </w:rPr>
        <w:t>Requests for waivers apply only to the training program requesting the waiver and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139.6(3)</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can apply for a waiver in accordance with </w:t>
      </w:r>
      <w:hyperlink r:id="rId31">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641—139.7</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education providers—approval, recordkeeping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139.7(1)</w:t>
      </w:r>
      <w:r>
        <w:rPr>
          <w:rFonts w:ascii="Times New Roman" w:hAnsi="Times New Roman"/>
          <w:b w:val="false"/>
          <w:i w:val="false"/>
          <w:color w:val="000000"/>
          <w:sz w:val="22"/>
        </w:rPr>
        <w:t> </w:t>
      </w:r>
      <w:r>
        <w:rPr>
          <w:rFonts w:ascii="Times New Roman" w:hAnsi="Times New Roman"/>
          <w:b w:val="false"/>
          <w:i w:val="false"/>
          <w:color w:val="000000"/>
          <w:sz w:val="22"/>
        </w:rPr>
        <w:t>A training program may conduct or authorize other entities to provide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139.7(2)</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assign a sponsor number to each core continuing education course using an assignment system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139.7(3)</w:t>
      </w:r>
      <w:r>
        <w:rPr>
          <w:rFonts w:ascii="Times New Roman" w:hAnsi="Times New Roman"/>
          <w:b w:val="false"/>
          <w:i w:val="false"/>
          <w:color w:val="000000"/>
          <w:sz w:val="22"/>
        </w:rPr>
        <w:t> </w:t>
      </w:r>
      <w:r>
        <w:rPr>
          <w:rFonts w:ascii="Times New Roman" w:hAnsi="Times New Roman"/>
          <w:b w:val="false"/>
          <w:i w:val="false"/>
          <w:color w:val="000000"/>
          <w:sz w:val="22"/>
        </w:rPr>
        <w:t>Course approval shall be completed prior to the course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139.7(4)</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maintain a participant record that includes, at a minimum, each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CEHs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or inspect the records of any continuing education provider who is currently approved or who is seeking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641—139.8</w:t>
      </w:r>
      <w:r>
        <w:rPr>
          <w:rFonts w:ascii="Times New Roman" w:hAnsi="Times New Roman"/>
          <w:b/>
          <w:i w:val="false"/>
          <w:color w:val="000000"/>
          <w:sz w:val="22"/>
        </w:rPr>
        <w:t xml:space="preserve">(147A) </w:t>
      </w:r>
      <w:r>
        <w:rPr>
          <w:rFonts w:ascii="Times New Roman" w:hAnsi="Times New Roman"/>
          <w:b/>
          <w:i w:val="false"/>
          <w:color w:val="000000"/>
          <w:sz w:val="22"/>
        </w:rPr>
        <w:t xml:space="preserve">Discipline—denial, citation and warning, probation, suspension, or revocation of training program approval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2">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139.8(2)</w:t>
      </w:r>
      <w:r>
        <w:rPr>
          <w:rFonts w:ascii="Times New Roman" w:hAnsi="Times New Roman"/>
          <w:b w:val="false"/>
          <w:i w:val="false"/>
          <w:color w:val="000000"/>
          <w:sz w:val="22"/>
        </w:rPr>
        <w:t> </w:t>
      </w:r>
      <w:r>
        <w:rPr>
          <w:rFonts w:ascii="Times New Roman" w:hAnsi="Times New Roman"/>
          <w:b w:val="false"/>
          <w:i w:val="false"/>
          <w:color w:val="000000"/>
          <w:sz w:val="22"/>
        </w:rPr>
        <w:t>Method of discipline. The department has the authority to impose the following disciplinary sanctions against a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program’s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Suspend an authorization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Revoke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any of the disciplinary sanctions provided in subrule </w:t>
      </w:r>
      <w:hyperlink r:id="rId33">
        <w:r>
          <w:rPr>
            <w:rStyle w:val="Hyperlink"/>
            <w:rFonts w:ascii="Times New Roman" w:hAnsi="Times New Roman"/>
            <w:b w:val="false"/>
            <w:i w:val="false"/>
            <w:color w:val="000000"/>
            <w:sz w:val="22"/>
          </w:rPr>
          <w:t>139.8(2)</w:t>
        </w:r>
      </w:hyperlink>
      <w:r>
        <w:rPr>
          <w:rFonts w:ascii="Times New Roman" w:hAnsi="Times New Roman"/>
          <w:b w:val="false"/>
          <w:i w:val="false"/>
          <w:color w:val="000000"/>
          <w:sz w:val="22"/>
        </w:rPr>
        <w:t xml:space="preserve"> when it finds that the training program or applicant has failed to meet the applicable provisions of these rules or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approval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of training or continuing education records or failure to document training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approval to provide emergency medical care training or other disciplinary action taken pursuant to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A certified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itself as an approved training program or continuing education provider when approval has been suspended or revoked or when approval has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Using an unqualified individual as an instructor or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Allowing verbal or physical abuse of a student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verify registration of a student with the department within the timeline established by the department or allowing an unregistered student to function in a clinical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Sexually harassing a patient, student or coworker.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Discrimination. A training program or continuing education provider shall not practice, condone, or facilitate discrimination against a patient,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2015 Standards and Guidelines for the Accreditation of Educational Programs in the Emergency Medical Services Professions published by the Commission on Accreditation of Allied Health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complaints regarding an emergency medical care student, training programs or continuing education providers or those purporting to be or operating as the same shall be reported to the department in writing.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emergency medical care provider, emergency medical care student, training program or continuing education provider who has knowledge of an emergency medical care provider or service program that has violated Iowa Code chapter </w:t>
      </w:r>
      <w:hyperlink r:id="rId3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139.9(3)</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139.9(4)</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3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can be appealed pursuant to </w:t>
      </w:r>
      <w:hyperlink r:id="rId3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6070C</w:t>
      </w:r>
      <w:r>
        <w:rPr>
          <w:rFonts w:ascii="Times New Roman" w:hAnsi="Times New Roman"/>
          <w:b w:val="false"/>
          <w:i w:val="false"/>
          <w:color w:val="000000"/>
          <w:sz w:val="21"/>
        </w:rPr>
        <w:t xml:space="preserve"> (Notice ARC 5928C, IAB 9/22/21)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9079C</w:t>
      </w:r>
      <w:r>
        <w:rPr>
          <w:rFonts w:ascii="Times New Roman" w:hAnsi="Times New Roman"/>
          <w:b w:val="false"/>
          <w:i w:val="false"/>
          <w:color w:val="000000"/>
          <w:sz w:val="21"/>
        </w:rPr>
        <w:t xml:space="preserve"> (Notice ARC 8538C, IAB 12/11/24)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4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1.pdf" Type="http://schemas.openxmlformats.org/officeDocument/2006/relationships/hyperlink" Id="rId5"/>
    <Relationship TargetMode="External" Target="https://www.legis.iowa.gov/docs/iac/rule/641.131.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ac/rule/641.131.1.pdf" Type="http://schemas.openxmlformats.org/officeDocument/2006/relationships/hyperlink" Id="rId8"/>
    <Relationship TargetMode="External" Target="https://www.legis.iowa.gov/docs/iac/rule/641.131.1.pdf" Type="http://schemas.openxmlformats.org/officeDocument/2006/relationships/hyperlink" Id="rId9"/>
    <Relationship TargetMode="External" Target="https://www.legis.iowa.gov/docs/iac/rule/641.131.1.pdf" Type="http://schemas.openxmlformats.org/officeDocument/2006/relationships/hyperlink" Id="rId10"/>
    <Relationship TargetMode="External" Target="https://www.legis.iowa.gov/docs/iac/rule/641.131.1.pdf" Type="http://schemas.openxmlformats.org/officeDocument/2006/relationships/hyperlink" Id="rId11"/>
    <Relationship TargetMode="External" Target="https://www.legis.iowa.gov/docs/iac/rule/641.131.1.pdf" Type="http://schemas.openxmlformats.org/officeDocument/2006/relationships/hyperlink" Id="rId12"/>
    <Relationship TargetMode="External" Target="https://www.legis.iowa.gov/docs/ico/chapter/147A.pdf" Type="http://schemas.openxmlformats.org/officeDocument/2006/relationships/hyperlink" Id="rId13"/>
    <Relationship TargetMode="External" Target="https://www.legis.iowa.gov/docs/iac/chapter/641.131.pdf" Type="http://schemas.openxmlformats.org/officeDocument/2006/relationships/hyperlink" Id="rId14"/>
    <Relationship TargetMode="External" Target="https://www.legis.iowa.gov/docs/ico/chapter/147A.1.pdf" Type="http://schemas.openxmlformats.org/officeDocument/2006/relationships/hyperlink" Id="rId15"/>
    <Relationship TargetMode="External" Target="https://www.legis.iowa.gov/docs/iac/rule/641.131.1.pdf" Type="http://schemas.openxmlformats.org/officeDocument/2006/relationships/hyperlink" Id="rId16"/>
    <Relationship TargetMode="External" Target="https://www.legis.iowa.gov/docs/ico/chapter/147A.1.pdf" Type="http://schemas.openxmlformats.org/officeDocument/2006/relationships/hyperlink" Id="rId17"/>
    <Relationship TargetMode="External" Target="https://www.legis.iowa.gov/docs/iac/rule/641.131.1.pdf" Type="http://schemas.openxmlformats.org/officeDocument/2006/relationships/hyperlink" Id="rId18"/>
    <Relationship TargetMode="External" Target="https://www.legis.iowa.gov/docs/iac/rule/641.131.1.pdf" Type="http://schemas.openxmlformats.org/officeDocument/2006/relationships/hyperlink" Id="rId19"/>
    <Relationship TargetMode="External" Target="https://www.legis.iowa.gov/docs/iac/rule/641.131.1.pdf" Type="http://schemas.openxmlformats.org/officeDocument/2006/relationships/hyperlink" Id="rId20"/>
    <Relationship TargetMode="External" Target="https://www.legis.iowa.gov/docs/iac/rule/641.131.1.pdf" Type="http://schemas.openxmlformats.org/officeDocument/2006/relationships/hyperlink" Id="rId21"/>
    <Relationship TargetMode="External" Target="https://www.legis.iowa.gov/docs/iac/rule/641.131.1.pdf" Type="http://schemas.openxmlformats.org/officeDocument/2006/relationships/hyperlink" Id="rId22"/>
    <Relationship TargetMode="External" Target="https://www.legis.iowa.gov/docs/ico/chapter/148.pdf" Type="http://schemas.openxmlformats.org/officeDocument/2006/relationships/hyperlink" Id="rId23"/>
    <Relationship TargetMode="External" Target="https://www.legis.iowa.gov/docs/ico/chapter/148C.pdf" Type="http://schemas.openxmlformats.org/officeDocument/2006/relationships/hyperlink" Id="rId24"/>
    <Relationship TargetMode="External" Target="https://www.legis.iowa.gov/docs/ico/chapter/152.pdf" Type="http://schemas.openxmlformats.org/officeDocument/2006/relationships/hyperlink" Id="rId25"/>
    <Relationship TargetMode="External" Target="https://www.legis.iowa.gov/docs/ico/chapter/147A.1.pdf" Type="http://schemas.openxmlformats.org/officeDocument/2006/relationships/hyperlink" Id="rId26"/>
    <Relationship TargetMode="External" Target="https://www.legis.iowa.gov/docs/ico/chapter/148.pdf" Type="http://schemas.openxmlformats.org/officeDocument/2006/relationships/hyperlink" Id="rId27"/>
    <Relationship TargetMode="External" Target="https://www.legis.iowa.gov/docs/iac/rule/641.139.8.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s://www.legis.iowa.gov/docs/iac/rule/641.139.8.pdf" Type="http://schemas.openxmlformats.org/officeDocument/2006/relationships/hyperlink" Id="rId30"/>
    <Relationship TargetMode="External" Target="https://www.legis.iowa.gov/docs/iac/chapter/441.2504.pdf" Type="http://schemas.openxmlformats.org/officeDocument/2006/relationships/hyperlink" Id="rId31"/>
    <Relationship TargetMode="External" Target="https://www.legis.iowa.gov/docs/iac/chapter/441.2504.pdf" Type="http://schemas.openxmlformats.org/officeDocument/2006/relationships/hyperlink" Id="rId32"/>
    <Relationship TargetMode="External" Target="https://www.legis.iowa.gov/docs/iac/rule/641.139.8.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co/chapter/147A.pdf" Type="http://schemas.openxmlformats.org/officeDocument/2006/relationships/hyperlink" Id="rId35"/>
    <Relationship TargetMode="External" Target="https://www.legis.iowa.gov/docs/iac/chapter/641.132.pdf" Type="http://schemas.openxmlformats.org/officeDocument/2006/relationships/hyperlink" Id="rId36"/>
    <Relationship TargetMode="External" Target="https://www.legis.iowa.gov/docs/iac/chapter/441.16.pdf" Type="http://schemas.openxmlformats.org/officeDocument/2006/relationships/hyperlink" Id="rId37"/>
    <Relationship TargetMode="External" Target="https://www.legis.iowa.gov/docs/iac/chapter/441.2506.pdf" Type="http://schemas.openxmlformats.org/officeDocument/2006/relationships/hyperlink" Id="rId38"/>
    <Relationship TargetMode="External" Target="https://www.legis.iowa.gov/docs/ico/chapter/147A.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