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136</w:t>
      </w:r>
    </w:p>
    <w:p>
      <w:pPr>
        <w:spacing w:before="0" w:after="0"/>
        <w:ind w:left="120"/>
        <w:jc w:val="center"/>
      </w:pPr>
      <w:r>
        <w:rPr>
          <w:rFonts w:ascii="Times New Roman" w:hAnsi="Times New Roman"/>
          <w:b w:val="false"/>
          <w:i w:val="false"/>
          <w:color w:val="000000"/>
          <w:sz w:val="21"/>
        </w:rPr>
        <w:t>TRAUMA REGISTRY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641—136.1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providers”</w:t>
      </w:r>
      <w:r>
        <w:rPr>
          <w:rFonts w:ascii="Times New Roman" w:hAnsi="Times New Roman"/>
          <w:b w:val="false"/>
          <w:i w:val="false"/>
          <w:color w:val="000000"/>
          <w:sz w:val="22"/>
        </w:rPr>
        <w:t> </w:t>
      </w:r>
      <w:r>
        <w:rPr>
          <w:rFonts w:ascii="Times New Roman" w:hAnsi="Times New Roman"/>
          <w:b w:val="false"/>
          <w:i w:val="false"/>
          <w:color w:val="000000"/>
          <w:sz w:val="22"/>
        </w:rPr>
        <w:t>for the purpose of this chapter includes licensed physicians, advanced registered nurse practitioners, physician associates, and registered nurses.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“Inclusion criteria”</w:t>
      </w:r>
      <w:r>
        <w:rPr>
          <w:rFonts w:ascii="Times New Roman" w:hAnsi="Times New Roman"/>
          <w:b w:val="false"/>
          <w:i w:val="false"/>
          <w:color w:val="000000"/>
          <w:sz w:val="22"/>
        </w:rPr>
        <w:t> </w:t>
      </w:r>
      <w:r>
        <w:rPr>
          <w:rFonts w:ascii="Times New Roman" w:hAnsi="Times New Roman"/>
          <w:b w:val="false"/>
          <w:i w:val="false"/>
          <w:color w:val="000000"/>
          <w:sz w:val="22"/>
        </w:rPr>
        <w:t>means criteria determined by the department and adopted by reference to determine which trauma patients are to be included in the trauma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“Reportable patient data”</w:t>
      </w:r>
      <w:r>
        <w:rPr>
          <w:rFonts w:ascii="Times New Roman" w:hAnsi="Times New Roman"/>
          <w:b w:val="false"/>
          <w:i w:val="false"/>
          <w:color w:val="000000"/>
          <w:sz w:val="22"/>
        </w:rPr>
        <w:t> </w:t>
      </w:r>
      <w:r>
        <w:rPr>
          <w:rFonts w:ascii="Times New Roman" w:hAnsi="Times New Roman"/>
          <w:b w:val="false"/>
          <w:i w:val="false"/>
          <w:color w:val="000000"/>
          <w:sz w:val="22"/>
        </w:rPr>
        <w:t>means data and definitions determined by the department to be reported to the trauma registry on trauma patients meeting the inclusion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147A.21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 patient”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victim of an external cause of injury that results in major or minor tissue damage or destruction caused by intentional or unintentional exposure to thermal, mechanical, electrical or chemical energy, or by the absence of heat or oxygen.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 registry”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data repository approved by the department to collect and analyze reportable patient data on the incidence, severity, and causes of trauma, and that serves as the central registry for brain and spinal cord injuries described in rule </w:t>
      </w:r>
      <w:hyperlink r:id="rId6">
        <w:r>
          <w:rPr>
            <w:rStyle w:val="Hyperlink"/>
            <w:rFonts w:ascii="Times New Roman" w:hAnsi="Times New Roman"/>
            <w:b w:val="false"/>
            <w:i w:val="false"/>
            <w:color w:val="000000"/>
            <w:sz w:val="22"/>
          </w:rPr>
          <w:t>641—21.1</w:t>
        </w:r>
      </w:hyperlink>
      <w:r>
        <w:rPr>
          <w:rFonts w:ascii="Times New Roman" w:hAnsi="Times New Roman"/>
          <w:b w:val="false"/>
          <w:i w:val="false"/>
          <w:color w:val="000000"/>
          <w:sz w:val="22"/>
        </w:rPr>
        <w:t>(135) and farm-related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 survey team”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group of health care providers contracted by the department to assist in verifying trauma care facilities’ compliance with trauma criteria adopted by reference in </w:t>
      </w:r>
      <w:hyperlink r:id="rId7">
        <w:r>
          <w:rPr>
            <w:rStyle w:val="Hyperlink"/>
            <w:rFonts w:ascii="Times New Roman" w:hAnsi="Times New Roman"/>
            <w:b w:val="false"/>
            <w:i w:val="false"/>
            <w:color w:val="000000"/>
            <w:sz w:val="22"/>
          </w:rPr>
          <w:t>641—subrule 134.2(3)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9077C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641—136.2</w:t>
      </w:r>
      <w:r>
        <w:rPr>
          <w:rFonts w:ascii="Times New Roman" w:hAnsi="Times New Roman"/>
          <w:b/>
          <w:i w:val="false"/>
          <w:color w:val="000000"/>
          <w:sz w:val="22"/>
        </w:rPr>
        <w:t xml:space="preserve">(147A) </w:t>
      </w:r>
      <w:r>
        <w:rPr>
          <w:rFonts w:ascii="Times New Roman" w:hAnsi="Times New Roman"/>
          <w:b/>
          <w:i w:val="false"/>
          <w:color w:val="000000"/>
          <w:sz w:val="22"/>
        </w:rPr>
        <w:t xml:space="preserve">Trauma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136.2(1)</w:t>
      </w:r>
      <w:r>
        <w:rPr>
          <w:rFonts w:ascii="Times New Roman" w:hAnsi="Times New Roman"/>
          <w:b w:val="false"/>
          <w:i w:val="false"/>
          <w:color w:val="000000"/>
          <w:sz w:val="22"/>
        </w:rPr>
        <w:t> </w:t>
      </w:r>
      <w:r>
        <w:rPr>
          <w:rFonts w:ascii="Times New Roman" w:hAnsi="Times New Roman"/>
          <w:b w:val="false"/>
          <w:i w:val="false"/>
          <w:color w:val="000000"/>
          <w:sz w:val="22"/>
        </w:rPr>
        <w:t>Trauma care facilities shall submit reportable patient data electronically to the department. Data shall be submitted in the trauma registry format approved by the department. The department may require those requesting the data to pay any or all of the reasonable costs associated with furnishing the reportable patient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136.2(2)</w:t>
      </w:r>
      <w:r>
        <w:rPr>
          <w:rFonts w:ascii="Times New Roman" w:hAnsi="Times New Roman"/>
          <w:b w:val="false"/>
          <w:i w:val="false"/>
          <w:color w:val="000000"/>
          <w:sz w:val="22"/>
        </w:rPr>
        <w:t> </w:t>
      </w:r>
      <w:r>
        <w:rPr>
          <w:rFonts w:ascii="Times New Roman" w:hAnsi="Times New Roman"/>
          <w:b w:val="false"/>
          <w:i w:val="false"/>
          <w:color w:val="000000"/>
          <w:sz w:val="22"/>
        </w:rPr>
        <w:t>Quality assurance of reported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 of ensuring the completeness and quality of reportable patient data, the department or its designated trauma survey team may examine medical records to validate the accuracy of data submitted by a trauma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of medical records by the department or its designated trauma survey team may be scheduled in advance with the trauma care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9077C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641—136.3</w:t>
      </w:r>
      <w:r>
        <w:rPr>
          <w:rFonts w:ascii="Times New Roman" w:hAnsi="Times New Roman"/>
          <w:b/>
          <w:i w:val="false"/>
          <w:color w:val="000000"/>
          <w:sz w:val="22"/>
        </w:rPr>
        <w:t xml:space="preserve">(147A) </w:t>
      </w:r>
      <w:r>
        <w:rPr>
          <w:rFonts w:ascii="Times New Roman" w:hAnsi="Times New Roman"/>
          <w:b/>
          <w:i w:val="false"/>
          <w:color w:val="000000"/>
          <w:sz w:val="22"/>
        </w:rPr>
        <w:t xml:space="preserve">Offenses and penalties. </w:t>
      </w:r>
      <w:r>
        <w:rPr>
          <w:rFonts w:ascii="Times New Roman" w:hAnsi="Times New Roman"/>
          <w:b w:val="false"/>
          <w:i w:val="false"/>
          <w:color w:val="000000"/>
          <w:sz w:val="22"/>
        </w:rPr>
        <w:t xml:space="preserve">All complaints, offenses and penalties will be addressed pursuant to rule </w:t>
      </w:r>
      <w:hyperlink r:id="rId8">
        <w:r>
          <w:rPr>
            <w:rStyle w:val="Hyperlink"/>
            <w:rFonts w:ascii="Times New Roman" w:hAnsi="Times New Roman"/>
            <w:b w:val="false"/>
            <w:i w:val="false"/>
            <w:color w:val="000000"/>
            <w:sz w:val="22"/>
          </w:rPr>
          <w:t>641—134.3</w:t>
        </w:r>
      </w:hyperlink>
      <w:r>
        <w:rPr>
          <w:rFonts w:ascii="Times New Roman" w:hAnsi="Times New Roman"/>
          <w:b w:val="false"/>
          <w:i w:val="false"/>
          <w:color w:val="000000"/>
          <w:sz w:val="22"/>
        </w:rPr>
        <w:t>(147A).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9077C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147A.26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11/14/96, Notice 10/9/96—published 12/4/96, effective 1/8/97]</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9/13/07, Notice 8/1/07—published 10/10/07, effective 11/14/07]</w:t>
      </w:r>
    </w:p>
    <w:p>
      <w:pPr>
        <w:spacing w:before="0" w:after="0"/>
        <w:ind w:left="120"/>
        <w:jc w:val="center"/>
      </w:pPr>
      <w:r>
        <w:rPr>
          <w:rFonts w:ascii="Times New Roman" w:hAnsi="Times New Roman"/>
          <w:b w:val="false"/>
          <w:i w:val="false"/>
          <w:color w:val="000000"/>
          <w:sz w:val="21"/>
        </w:rPr>
        <w:t>[Filed ARC 9444B</w:t>
      </w:r>
      <w:r>
        <w:rPr>
          <w:rFonts w:ascii="Times New Roman" w:hAnsi="Times New Roman"/>
          <w:b w:val="false"/>
          <w:i w:val="false"/>
          <w:color w:val="000000"/>
          <w:sz w:val="21"/>
        </w:rPr>
        <w:t xml:space="preserve"> (Notice ARC 9343B, IAB 1/26/11)</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3106C</w:t>
      </w:r>
      <w:r>
        <w:rPr>
          <w:rFonts w:ascii="Times New Roman" w:hAnsi="Times New Roman"/>
          <w:b w:val="false"/>
          <w:i w:val="false"/>
          <w:color w:val="000000"/>
          <w:sz w:val="21"/>
        </w:rPr>
        <w:t xml:space="preserve"> (Notice ARC 2902C, IAB 1/18/17)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3834C</w:t>
      </w:r>
      <w:r>
        <w:rPr>
          <w:rFonts w:ascii="Times New Roman" w:hAnsi="Times New Roman"/>
          <w:b w:val="false"/>
          <w:i w:val="false"/>
          <w:color w:val="000000"/>
          <w:sz w:val="21"/>
        </w:rPr>
        <w:t xml:space="preserve"> (Notice ARC 3706C,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5528C</w:t>
      </w:r>
      <w:r>
        <w:rPr>
          <w:rFonts w:ascii="Times New Roman" w:hAnsi="Times New Roman"/>
          <w:b w:val="false"/>
          <w:i w:val="false"/>
          <w:color w:val="000000"/>
          <w:sz w:val="21"/>
        </w:rPr>
        <w:t xml:space="preserve"> (Notice ARC 5271C, IAB 11/18/20)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9077C</w:t>
      </w:r>
      <w:r>
        <w:rPr>
          <w:rFonts w:ascii="Times New Roman" w:hAnsi="Times New Roman"/>
          <w:b w:val="false"/>
          <w:i w:val="false"/>
          <w:color w:val="000000"/>
          <w:sz w:val="21"/>
        </w:rPr>
        <w:t xml:space="preserve"> (Notice ARC 8523C, IAB 12/11/24)</w:t>
      </w:r>
      <w:r>
        <w:rPr>
          <w:rFonts w:ascii="Times New Roman" w:hAnsi="Times New Roman"/>
          <w:b w:val="false"/>
          <w:i w:val="false"/>
          <w:color w:val="000000"/>
          <w:sz w:val="21"/>
        </w:rPr>
        <w:t>, IAB 4/2/25, effective 6/1/25]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A.21.pdf" Type="http://schemas.openxmlformats.org/officeDocument/2006/relationships/hyperlink" Id="rId5"/>
    <Relationship TargetMode="External" Target="https://www.legis.iowa.gov/docs/iac/rule/641.21.1.pdf" Type="http://schemas.openxmlformats.org/officeDocument/2006/relationships/hyperlink" Id="rId6"/>
    <Relationship TargetMode="External" Target="https://www.legis.iowa.gov/docs/iac/rule/641.134.2.pdf" Type="http://schemas.openxmlformats.org/officeDocument/2006/relationships/hyperlink" Id="rId7"/>
    <Relationship TargetMode="External" Target="https://www.legis.iowa.gov/docs/iac/rule/641.134.3.pdf" Type="http://schemas.openxmlformats.org/officeDocument/2006/relationships/hyperlink" Id="rId8"/>
    <Relationship TargetMode="External" Target="https://www.legis.iowa.gov/docs/ico/chapter/147A.2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