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134</w:t>
      </w:r>
    </w:p>
    <w:p>
      <w:pPr>
        <w:spacing w:before="0" w:after="0"/>
        <w:ind w:left="120"/>
        <w:jc w:val="center"/>
      </w:pPr>
      <w:r>
        <w:rPr>
          <w:rFonts w:ascii="Times New Roman" w:hAnsi="Times New Roman"/>
          <w:b w:val="false"/>
          <w:i w:val="false"/>
          <w:color w:val="000000"/>
          <w:sz w:val="21"/>
        </w:rPr>
        <w:t>TRAUMA CARE FACILITY CATEGORIZATION AND VERIFICATION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641—134.1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“ACS-COT”</w:t>
      </w:r>
      <w:r>
        <w:rPr>
          <w:rFonts w:ascii="Times New Roman" w:hAnsi="Times New Roman"/>
          <w:b w:val="false"/>
          <w:i w:val="false"/>
          <w:color w:val="000000"/>
          <w:sz w:val="22"/>
        </w:rPr>
        <w:t> </w:t>
      </w:r>
      <w:r>
        <w:rPr>
          <w:rFonts w:ascii="Times New Roman" w:hAnsi="Times New Roman"/>
          <w:b w:val="false"/>
          <w:i w:val="false"/>
          <w:color w:val="000000"/>
          <w:sz w:val="22"/>
        </w:rPr>
        <w:t>means the American College of Surgeons Committee on Trauma.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“Categorization”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147A.21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verification”</w:t>
      </w:r>
      <w:r>
        <w:rPr>
          <w:rFonts w:ascii="Times New Roman" w:hAnsi="Times New Roman"/>
          <w:b w:val="false"/>
          <w:i w:val="false"/>
          <w:color w:val="000000"/>
          <w:sz w:val="22"/>
        </w:rPr>
        <w:t> </w:t>
      </w:r>
      <w:r>
        <w:rPr>
          <w:rFonts w:ascii="Times New Roman" w:hAnsi="Times New Roman"/>
          <w:b w:val="false"/>
          <w:i w:val="false"/>
          <w:color w:val="000000"/>
          <w:sz w:val="22"/>
        </w:rPr>
        <w:t>means a document awarded by the department that identifies a hospital or emergency care facility’s level and term of verification as a trauma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“Criteria deficiency”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“deficiency”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failure to meet criteria requirements as outlined in subrule </w:t>
      </w:r>
      <w:hyperlink r:id="rId6">
        <w:r>
          <w:rPr>
            <w:rStyle w:val="Hyperlink"/>
            <w:rFonts w:ascii="Times New Roman" w:hAnsi="Times New Roman"/>
            <w:b w:val="false"/>
            <w:i w:val="false"/>
            <w:color w:val="000000"/>
            <w:sz w:val="22"/>
          </w:rPr>
          <w:t>134.2(3)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147A.21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emergency medical care provider as defined in Iowa Code section </w:t>
      </w:r>
      <w:hyperlink r:id="rId8">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“Final report”</w:t>
      </w:r>
      <w:r>
        <w:rPr>
          <w:rFonts w:ascii="Times New Roman" w:hAnsi="Times New Roman"/>
          <w:b w:val="false"/>
          <w:i w:val="false"/>
          <w:color w:val="000000"/>
          <w:sz w:val="22"/>
        </w:rPr>
        <w:t> </w:t>
      </w:r>
      <w:r>
        <w:rPr>
          <w:rFonts w:ascii="Times New Roman" w:hAnsi="Times New Roman"/>
          <w:b w:val="false"/>
          <w:i w:val="false"/>
          <w:color w:val="000000"/>
          <w:sz w:val="22"/>
        </w:rPr>
        <w:t>means the verification report issued by the department following a verification review conducted by trauma survey team members and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“Governing body”</w:t>
      </w:r>
      <w:r>
        <w:rPr>
          <w:rFonts w:ascii="Times New Roman" w:hAnsi="Times New Roman"/>
          <w:b w:val="false"/>
          <w:i w:val="false"/>
          <w:color w:val="000000"/>
          <w:sz w:val="22"/>
        </w:rPr>
        <w:t> </w:t>
      </w:r>
      <w:r>
        <w:rPr>
          <w:rFonts w:ascii="Times New Roman" w:hAnsi="Times New Roman"/>
          <w:b w:val="false"/>
          <w:i w:val="false"/>
          <w:color w:val="000000"/>
          <w:sz w:val="22"/>
        </w:rPr>
        <w:t>means a group of individuals responsible for the governance of a hospital, including but not limited to a board of directors or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hospital licensed under Iowa Code chapter </w:t>
      </w:r>
      <w:hyperlink r:id="rId9">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“On-site verification survey”</w:t>
      </w:r>
      <w:r>
        <w:rPr>
          <w:rFonts w:ascii="Times New Roman" w:hAnsi="Times New Roman"/>
          <w:b w:val="false"/>
          <w:i w:val="false"/>
          <w:color w:val="000000"/>
          <w:sz w:val="22"/>
        </w:rPr>
        <w:t> </w:t>
      </w:r>
      <w:r>
        <w:rPr>
          <w:rFonts w:ascii="Times New Roman" w:hAnsi="Times New Roman"/>
          <w:b w:val="false"/>
          <w:i w:val="false"/>
          <w:color w:val="000000"/>
          <w:sz w:val="22"/>
        </w:rPr>
        <w:t>means an on-site survey conducted by the department or survey team members to assess a hospital or emergency care facility’s ability to meet the level of categorization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“Persistently occurring deficiencies”</w:t>
      </w:r>
      <w:r>
        <w:rPr>
          <w:rFonts w:ascii="Times New Roman" w:hAnsi="Times New Roman"/>
          <w:b w:val="false"/>
          <w:i w:val="false"/>
          <w:color w:val="000000"/>
          <w:sz w:val="22"/>
        </w:rPr>
        <w:t> </w:t>
      </w:r>
      <w:r>
        <w:rPr>
          <w:rFonts w:ascii="Times New Roman" w:hAnsi="Times New Roman"/>
          <w:b w:val="false"/>
          <w:i w:val="false"/>
          <w:color w:val="000000"/>
          <w:sz w:val="22"/>
        </w:rPr>
        <w:t>means deficiencies identified in two sequential verification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“Trauma”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147A.21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“Trauma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147A.21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“Trauma survey team”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group of health care providers contracted by the department to assist in verifying trauma care facilities’ compliance with trauma criteria adopted in subrule </w:t>
      </w:r>
      <w:hyperlink r:id="rId12">
        <w:r>
          <w:rPr>
            <w:rStyle w:val="Hyperlink"/>
            <w:rFonts w:ascii="Times New Roman" w:hAnsi="Times New Roman"/>
            <w:b w:val="false"/>
            <w:i w:val="false"/>
            <w:color w:val="000000"/>
            <w:sz w:val="22"/>
          </w:rPr>
          <w:t>134.2(3)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“Type I criteria”</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“type I criteria deficiency”</w:t>
      </w:r>
      <w:r>
        <w:rPr>
          <w:rFonts w:ascii="Times New Roman" w:hAnsi="Times New Roman"/>
          <w:b w:val="false"/>
          <w:i w:val="false"/>
          <w:color w:val="000000"/>
          <w:sz w:val="22"/>
        </w:rPr>
        <w:t> </w:t>
      </w:r>
      <w:r>
        <w:rPr>
          <w:rFonts w:ascii="Times New Roman" w:hAnsi="Times New Roman"/>
          <w:b w:val="false"/>
          <w:i w:val="false"/>
          <w:color w:val="000000"/>
          <w:sz w:val="22"/>
        </w:rPr>
        <w:t>indicates criteria requirements that may significantly impact a trauma care facility’s ability to provide optimal care for trauma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“Type II criteria”</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“type III criteria deficiency”</w:t>
      </w:r>
      <w:r>
        <w:rPr>
          <w:rFonts w:ascii="Times New Roman" w:hAnsi="Times New Roman"/>
          <w:b w:val="false"/>
          <w:i w:val="false"/>
          <w:color w:val="000000"/>
          <w:sz w:val="22"/>
        </w:rPr>
        <w:t> </w:t>
      </w:r>
      <w:r>
        <w:rPr>
          <w:rFonts w:ascii="Times New Roman" w:hAnsi="Times New Roman"/>
          <w:b w:val="false"/>
          <w:i w:val="false"/>
          <w:color w:val="000000"/>
          <w:sz w:val="22"/>
        </w:rPr>
        <w:t>indicates criteria that are required but have a less critical impact on the trauma care facility’s ability to provide optimal care for trauma patients than type I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“Verification”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147A.21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9125C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641—134.2</w:t>
      </w:r>
      <w:r>
        <w:rPr>
          <w:rFonts w:ascii="Times New Roman" w:hAnsi="Times New Roman"/>
          <w:b/>
          <w:i w:val="false"/>
          <w:color w:val="000000"/>
          <w:sz w:val="22"/>
        </w:rPr>
        <w:t xml:space="preserve">(147A) </w:t>
      </w:r>
      <w:r>
        <w:rPr>
          <w:rFonts w:ascii="Times New Roman" w:hAnsi="Times New Roman"/>
          <w:b/>
          <w:i w:val="false"/>
          <w:color w:val="000000"/>
          <w:sz w:val="22"/>
        </w:rPr>
        <w:t xml:space="preserve">Trauma care facility categorization and verification. </w:t>
      </w:r>
      <w:r>
        <w:rPr>
          <w:rFonts w:ascii="Times New Roman" w:hAnsi="Times New Roman"/>
          <w:b w:val="false"/>
          <w:i w:val="false"/>
          <w:color w:val="000000"/>
          <w:sz w:val="22"/>
        </w:rPr>
        <w:t xml:space="preserve">Categorization and verification of trauma care facilities will be made by the department in accordance with Iowa Code section </w:t>
      </w:r>
      <w:hyperlink r:id="rId14">
        <w:r>
          <w:rPr>
            <w:rStyle w:val="Hyperlink"/>
            <w:rFonts w:ascii="Times New Roman" w:hAnsi="Times New Roman"/>
            <w:b w:val="false"/>
            <w:i w:val="false"/>
            <w:color w:val="000000"/>
            <w:sz w:val="22"/>
          </w:rPr>
          <w:t>147A.23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134.2(1)</w:t>
      </w:r>
      <w:r>
        <w:rPr>
          <w:rFonts w:ascii="Times New Roman" w:hAnsi="Times New Roman"/>
          <w:b w:val="false"/>
          <w:i w:val="false"/>
          <w:color w:val="000000"/>
          <w:sz w:val="22"/>
        </w:rPr>
        <w:t> </w:t>
      </w:r>
      <w:r>
        <w:rPr>
          <w:rFonts w:ascii="Times New Roman" w:hAnsi="Times New Roman"/>
          <w:b w:val="false"/>
          <w:i w:val="false"/>
          <w:color w:val="000000"/>
          <w:sz w:val="22"/>
        </w:rPr>
        <w:t>Categorization applications shall be submitted by all hospitals. New hospitals and emergency care facilities shall submit a categorization application no later than 90 days after licensing by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134.2(2)</w:t>
      </w:r>
      <w:r>
        <w:rPr>
          <w:rFonts w:ascii="Times New Roman" w:hAnsi="Times New Roman"/>
          <w:b w:val="false"/>
          <w:i w:val="false"/>
          <w:color w:val="000000"/>
          <w:sz w:val="22"/>
        </w:rPr>
        <w:t> </w:t>
      </w:r>
      <w:r>
        <w:rPr>
          <w:rFonts w:ascii="Times New Roman" w:hAnsi="Times New Roman"/>
          <w:b w:val="false"/>
          <w:i w:val="false"/>
          <w:color w:val="000000"/>
          <w:sz w:val="22"/>
        </w:rPr>
        <w:t>Categorization levels for trauma care facilities shall be identified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Level 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Level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Level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Level IV.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134.2(3)</w:t>
      </w:r>
      <w:r>
        <w:rPr>
          <w:rFonts w:ascii="Times New Roman" w:hAnsi="Times New Roman"/>
          <w:b w:val="false"/>
          <w:i w:val="false"/>
          <w:color w:val="000000"/>
          <w:sz w:val="22"/>
        </w:rPr>
        <w:t> </w:t>
      </w:r>
      <w:r>
        <w:rPr>
          <w:rFonts w:ascii="Times New Roman" w:hAnsi="Times New Roman"/>
          <w:b w:val="false"/>
          <w:i w:val="false"/>
          <w:color w:val="000000"/>
          <w:sz w:val="22"/>
        </w:rPr>
        <w:t>Adoption by reference. Criteria specific to level I, II, and III trauma care facilities identified in the “Resources for Optimal Care of the Injured Patient” 2022 Standards published by the American College of Surgeons (ACS) is incorporated and adopted by reference for level I, II, and III hospital and emergency care facility categorization criteria. Criteria specific to level IV trauma care facilities identified in the “Resources for Optimal Care of the Injured Patient 2014”  published by the  ACS  is incorporated and adopted by reference for level IV hospital and emergency care categorization criteria. For any differences that may occur between the adopted references and these administrative rules, the administrative rules shall prevail.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134.2(4)</w:t>
      </w:r>
      <w:r>
        <w:rPr>
          <w:rFonts w:ascii="Times New Roman" w:hAnsi="Times New Roman"/>
          <w:b w:val="false"/>
          <w:i w:val="false"/>
          <w:color w:val="000000"/>
          <w:sz w:val="22"/>
        </w:rPr>
        <w:t> </w:t>
      </w:r>
      <w:r>
        <w:rPr>
          <w:rFonts w:ascii="Times New Roman" w:hAnsi="Times New Roman"/>
          <w:b w:val="false"/>
          <w:i w:val="false"/>
          <w:color w:val="000000"/>
          <w:sz w:val="22"/>
        </w:rPr>
        <w:t>Categorization shall not be construed to imply any guarantee on the part of the department as to the level of trauma care services available at a trauma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134.2(5)</w:t>
      </w:r>
      <w:r>
        <w:rPr>
          <w:rFonts w:ascii="Times New Roman" w:hAnsi="Times New Roman"/>
          <w:b w:val="false"/>
          <w:i w:val="false"/>
          <w:color w:val="000000"/>
          <w:sz w:val="22"/>
        </w:rPr>
        <w:t> </w:t>
      </w:r>
      <w:r>
        <w:rPr>
          <w:rFonts w:ascii="Times New Roman" w:hAnsi="Times New Roman"/>
          <w:b w:val="false"/>
          <w:i w:val="false"/>
          <w:color w:val="000000"/>
          <w:sz w:val="22"/>
        </w:rPr>
        <w:t>A verified trauma care facility may apply to the department for a change in level of categorization through submission of a self-assessment categorization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134.2(6)</w:t>
      </w:r>
      <w:r>
        <w:rPr>
          <w:rFonts w:ascii="Times New Roman" w:hAnsi="Times New Roman"/>
          <w:b w:val="false"/>
          <w:i w:val="false"/>
          <w:color w:val="000000"/>
          <w:sz w:val="22"/>
        </w:rPr>
        <w:t> </w:t>
      </w:r>
      <w:r>
        <w:rPr>
          <w:rFonts w:ascii="Times New Roman" w:hAnsi="Times New Roman"/>
          <w:b w:val="false"/>
          <w:i w:val="false"/>
          <w:color w:val="000000"/>
          <w:sz w:val="22"/>
        </w:rPr>
        <w:t>Verification of a trauma care facility will be determined by the department upon successful completion of the categorization application and completion of a verification survey. All categorized hospitals and emergency care facilities shall be verified. Each hospital location operating on a single hospital license must provide the same level of trauma care or be verified separately to the level of trauma care services at that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Level I and II trauma care facilities shall be verified by the ACS-COT.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Trauma care facilities verified by the ACS-COT will be accepted by the department as equivalent for categorization and verification as a trauma care facility in Iowa provided that all policy, reporting, and administrative rules have been met. The department may issue a certification of verification provided that the trauma care facility has been verified by the ACS-COT. The facility shall provide the department documentation including but not limited to a current copy of the ACS-COT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level I or II trauma care facility that fails to attain ACS-COT verification shall submit an application to the department to be verified as a level III or IV trauma care facility to ensure compliance with Iowa Code section </w:t>
      </w:r>
      <w:hyperlink r:id="rId15">
        <w:r>
          <w:rPr>
            <w:rStyle w:val="Hyperlink"/>
            <w:rFonts w:ascii="Times New Roman" w:hAnsi="Times New Roman"/>
            <w:b w:val="false"/>
            <w:i w:val="false"/>
            <w:color w:val="000000"/>
            <w:sz w:val="22"/>
          </w:rPr>
          <w:t>147A.23(2)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Level III and IV trauma care facilities will be verified by the department in consultation with the trauma survey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134.2(7)</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conduct a verification survey for categorized hospitals or emergency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 I and II criteria deficiencies identified during the verification process shall be resolved in accordance with the trauma care facility’s final report. Failure to rectify deficiencies in accordance with the trauma care facility’s final report may result in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conduct electronic review or on-site verification that criteria deficiencies have been resolved as outlined in final reports or disciplinary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applicant in writing as to the approval or denial of verification as a trauma care facility within 90 days after the completion of a verification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Verification cannot be construed to imply any guarantee on the part of the department as to the level of trauma care services available at a hospital or emergency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Trauma care facility verification is valid for a period of three years from the effective date unless otherwise specified on the certificate of verification or unless sooner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Trauma care facilities shall be fully operational at their verified level upon the effective date specified on the certificate of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Trauma care facilities that are unable to maintain their categorization or verification, or both, must notify the department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pursuant to </w:t>
      </w:r>
      <w:hyperlink r:id="rId16">
        <w:r>
          <w:rPr>
            <w:rStyle w:val="Hyperlink"/>
            <w:rFonts w:ascii="Times New Roman" w:hAnsi="Times New Roman"/>
            <w:b w:val="false"/>
            <w:i w:val="false"/>
            <w:color w:val="000000"/>
            <w:sz w:val="22"/>
          </w:rPr>
          <w:t>441—Chapter 2504</w:t>
        </w:r>
      </w:hyperlink>
      <w:r>
        <w:rPr>
          <w:rFonts w:ascii="Times New Roman" w:hAnsi="Times New Roman"/>
          <w:b w:val="false"/>
          <w:i w:val="false"/>
          <w:color w:val="000000"/>
          <w:sz w:val="22"/>
        </w:rPr>
        <w:t>, may grant a waiver from the requirements of rules adopted under this chapter for any trauma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Proceedings, records, and reports developed pursuant to this chapter constitute peer review records under Iowa Code section </w:t>
      </w:r>
      <w:hyperlink r:id="rId17">
        <w:r>
          <w:rPr>
            <w:rStyle w:val="Hyperlink"/>
            <w:rFonts w:ascii="Times New Roman" w:hAnsi="Times New Roman"/>
            <w:b w:val="false"/>
            <w:i w:val="false"/>
            <w:color w:val="000000"/>
            <w:sz w:val="22"/>
          </w:rPr>
          <w:t>147.135</w:t>
        </w:r>
      </w:hyperlink>
      <w:r>
        <w:rPr>
          <w:rFonts w:ascii="Times New Roman" w:hAnsi="Times New Roman"/>
          <w:b w:val="false"/>
          <w:i w:val="false"/>
          <w:color w:val="000000"/>
          <w:sz w:val="22"/>
        </w:rPr>
        <w:t xml:space="preserve"> and are not subject to discovery by subpoena or admissible as evidence. All information and documents received from a hospital, emergency care facility, or trauma care facility under Iowa Code chapter </w:t>
      </w:r>
      <w:hyperlink r:id="rId18">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are confidential pursuant to Iowa Code section </w:t>
      </w:r>
      <w:hyperlink r:id="rId19">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9125C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641—134.3</w:t>
      </w:r>
      <w:r>
        <w:rPr>
          <w:rFonts w:ascii="Times New Roman" w:hAnsi="Times New Roman"/>
          <w:b/>
          <w:i w:val="false"/>
          <w:color w:val="000000"/>
          <w:sz w:val="22"/>
        </w:rPr>
        <w:t xml:space="preserve">(147A) </w:t>
      </w:r>
      <w:r>
        <w:rPr>
          <w:rFonts w:ascii="Times New Roman" w:hAnsi="Times New Roman"/>
          <w:b/>
          <w:i w:val="false"/>
          <w:color w:val="000000"/>
          <w:sz w:val="22"/>
        </w:rPr>
        <w:t xml:space="preserve">Complaints, investigations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verification as a trauma care facility or may give a citation and warning, place on probation, suspend, or revoke existing verification if the department finds reason to believe that the facility has not been operating or will not be operated in compliance with Iowa Code section </w:t>
      </w:r>
      <w:hyperlink r:id="rId20">
        <w:r>
          <w:rPr>
            <w:rStyle w:val="Hyperlink"/>
            <w:rFonts w:ascii="Times New Roman" w:hAnsi="Times New Roman"/>
            <w:b w:val="false"/>
            <w:i w:val="false"/>
            <w:color w:val="000000"/>
            <w:sz w:val="22"/>
          </w:rPr>
          <w:t>147A.23</w:t>
        </w:r>
      </w:hyperlink>
      <w:r>
        <w:rPr>
          <w:rFonts w:ascii="Times New Roman" w:hAnsi="Times New Roman"/>
          <w:b w:val="false"/>
          <w:i w:val="false"/>
          <w:color w:val="000000"/>
          <w:sz w:val="22"/>
        </w:rPr>
        <w:t xml:space="preserve"> and these administrative rules or that there is insufficient assurance of adequate protection for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134.3(2)</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the operation of a trauma care facility, or those purporting to be or operating as the same, shall be reported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and the investigative process shall be treated as confidential to the extent that they are protected by Iowa Code section </w:t>
      </w:r>
      <w:hyperlink r:id="rId2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chapter </w:t>
      </w:r>
      <w:hyperlink r:id="rId2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134.3(4)</w:t>
      </w:r>
      <w:r>
        <w:rPr>
          <w:rFonts w:ascii="Times New Roman" w:hAnsi="Times New Roman"/>
          <w:b w:val="false"/>
          <w:i w:val="false"/>
          <w:color w:val="000000"/>
          <w:sz w:val="22"/>
        </w:rPr>
        <w:t> </w:t>
      </w:r>
      <w:r>
        <w:rPr>
          <w:rFonts w:ascii="Times New Roman" w:hAnsi="Times New Roman"/>
          <w:b w:val="false"/>
          <w:i w:val="false"/>
          <w:color w:val="000000"/>
          <w:sz w:val="22"/>
        </w:rPr>
        <w:t>Complaint investigations may result in the department’s issuance of a notice of denial, citation and warning, probation,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134.3(5)</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denial, citation and warning, probation, suspension or revocation shall be effected in accordance with the requirements of </w:t>
      </w:r>
      <w:hyperlink r:id="rId23">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appealed pursuant to </w:t>
      </w:r>
      <w:hyperlink r:id="rId2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134.3(6)</w:t>
      </w:r>
      <w:r>
        <w:rPr>
          <w:rFonts w:ascii="Times New Roman" w:hAnsi="Times New Roman"/>
          <w:b w:val="false"/>
          <w:i w:val="false"/>
          <w:color w:val="000000"/>
          <w:sz w:val="22"/>
        </w:rPr>
        <w:t> </w:t>
      </w:r>
      <w:r>
        <w:rPr>
          <w:rFonts w:ascii="Times New Roman" w:hAnsi="Times New Roman"/>
          <w:b w:val="false"/>
          <w:i w:val="false"/>
          <w:color w:val="000000"/>
          <w:sz w:val="22"/>
        </w:rPr>
        <w:t>Final decisions of the department relating to disciplinary proceedings may be transmitted to the appropriate professional associations, news media or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9125C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5">
        <w:r>
          <w:rPr>
            <w:rStyle w:val="Hyperlink"/>
            <w:rFonts w:ascii="Times New Roman" w:hAnsi="Times New Roman"/>
            <w:b w:val="false"/>
            <w:i w:val="false"/>
            <w:color w:val="000000"/>
            <w:sz w:val="22"/>
          </w:rPr>
          <w:t>147A.23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11/14/96, Notice 10/9/96—published 12/4/96, effective 1/8/97]</w:t>
      </w:r>
    </w:p>
    <w:p>
      <w:pPr>
        <w:spacing w:before="0" w:after="0"/>
        <w:ind w:left="120"/>
        <w:jc w:val="center"/>
      </w:pPr>
      <w:r>
        <w:rPr>
          <w:rFonts w:ascii="Times New Roman" w:hAnsi="Times New Roman"/>
          <w:b w:val="false"/>
          <w:i w:val="false"/>
          <w:color w:val="000000"/>
          <w:sz w:val="21"/>
        </w:rPr>
        <w:t>[Filed 1/18/01, Notice 11/15/00—published 2/7/01, effective 3/14/01]</w:t>
      </w:r>
    </w:p>
    <w:p>
      <w:pPr>
        <w:spacing w:before="0" w:after="0"/>
        <w:ind w:left="120"/>
        <w:jc w:val="center"/>
      </w:pPr>
      <w:r>
        <w:rPr>
          <w:rFonts w:ascii="Times New Roman" w:hAnsi="Times New Roman"/>
          <w:b w:val="false"/>
          <w:i w:val="false"/>
          <w:color w:val="000000"/>
          <w:sz w:val="21"/>
        </w:rPr>
        <w:t>[Filed 1/10/02, Notice 11/28/01—published 2/6/02, effective 3/13/02]</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ARC 9445B</w:t>
      </w:r>
      <w:r>
        <w:rPr>
          <w:rFonts w:ascii="Times New Roman" w:hAnsi="Times New Roman"/>
          <w:b w:val="false"/>
          <w:i w:val="false"/>
          <w:color w:val="000000"/>
          <w:sz w:val="21"/>
        </w:rPr>
        <w:t xml:space="preserve"> (Notice ARC 9344B, IAB 1/26/11)</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1079C</w:t>
      </w:r>
      <w:r>
        <w:rPr>
          <w:rFonts w:ascii="Times New Roman" w:hAnsi="Times New Roman"/>
          <w:b w:val="false"/>
          <w:i w:val="false"/>
          <w:color w:val="000000"/>
          <w:sz w:val="21"/>
        </w:rPr>
        <w:t xml:space="preserve"> (Notice ARC 0772C, IAB 5/29/13)</w:t>
      </w:r>
      <w:r>
        <w:rPr>
          <w:rFonts w:ascii="Times New Roman" w:hAnsi="Times New Roman"/>
          <w:b w:val="false"/>
          <w:i w:val="false"/>
          <w:color w:val="000000"/>
          <w:sz w:val="21"/>
        </w:rPr>
        <w:t>, IAB 10/2/13, effective 1/6/14]</w:t>
      </w:r>
    </w:p>
    <w:p>
      <w:pPr>
        <w:spacing w:before="0" w:after="0"/>
        <w:ind w:left="120"/>
        <w:jc w:val="center"/>
      </w:pPr>
      <w:r>
        <w:rPr>
          <w:rFonts w:ascii="Times New Roman" w:hAnsi="Times New Roman"/>
          <w:b w:val="false"/>
          <w:i w:val="false"/>
          <w:color w:val="000000"/>
          <w:sz w:val="21"/>
        </w:rPr>
        <w:t>[Filed ARC 3240C</w:t>
      </w:r>
      <w:r>
        <w:rPr>
          <w:rFonts w:ascii="Times New Roman" w:hAnsi="Times New Roman"/>
          <w:b w:val="false"/>
          <w:i w:val="false"/>
          <w:color w:val="000000"/>
          <w:sz w:val="21"/>
        </w:rPr>
        <w:t xml:space="preserve"> (Notice ARC 3075C,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9125C</w:t>
      </w:r>
      <w:r>
        <w:rPr>
          <w:rFonts w:ascii="Times New Roman" w:hAnsi="Times New Roman"/>
          <w:b w:val="false"/>
          <w:i w:val="false"/>
          <w:color w:val="000000"/>
          <w:sz w:val="21"/>
        </w:rPr>
        <w:t xml:space="preserve"> (Notice ARC 8512C, IAB 12/11/24)</w:t>
      </w:r>
      <w:r>
        <w:rPr>
          <w:rFonts w:ascii="Times New Roman" w:hAnsi="Times New Roman"/>
          <w:b w:val="false"/>
          <w:i w:val="false"/>
          <w:color w:val="000000"/>
          <w:sz w:val="21"/>
        </w:rPr>
        <w:t>, IAB 4/16/25, effective 6/1/25]</w:t>
      </w:r>
    </w:p>
    <w:p>
      <w:pPr>
        <w:spacing w:before="0" w:after="0"/>
        <w:ind w:left="120"/>
        <w:jc w:val="center"/>
      </w:pPr>
      <w:r>
        <w:rPr>
          <w:rFonts w:ascii="Times New Roman" w:hAnsi="Times New Roman"/>
          <w:b w:val="false"/>
          <w:i w:val="false"/>
          <w:color w:val="000000"/>
          <w:sz w:val="21"/>
        </w:rPr>
        <w:t>[Editorial change: IAC Supplement 6/10/26]</w:t>
      </w:r>
    </w:p>
    <w:sectPr>
      <w:footerReference r:id="rId2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A.21.pdf" Type="http://schemas.openxmlformats.org/officeDocument/2006/relationships/hyperlink" Id="rId5"/>
    <Relationship TargetMode="External" Target="https://www.legis.iowa.gov/docs/iac/rule/641.134.2.pdf" Type="http://schemas.openxmlformats.org/officeDocument/2006/relationships/hyperlink" Id="rId6"/>
    <Relationship TargetMode="External" Target="https://www.legis.iowa.gov/docs/ico/chapter/147A.21.pdf" Type="http://schemas.openxmlformats.org/officeDocument/2006/relationships/hyperlink" Id="rId7"/>
    <Relationship TargetMode="External" Target="https://www.legis.iowa.gov/docs/ico/chapter/147A.1.pdf" Type="http://schemas.openxmlformats.org/officeDocument/2006/relationships/hyperlink" Id="rId8"/>
    <Relationship TargetMode="External" Target="https://www.legis.iowa.gov/docs/ico/chapter/135B.pdf" Type="http://schemas.openxmlformats.org/officeDocument/2006/relationships/hyperlink" Id="rId9"/>
    <Relationship TargetMode="External" Target="https://www.legis.iowa.gov/docs/ico/chapter/147A.21.pdf" Type="http://schemas.openxmlformats.org/officeDocument/2006/relationships/hyperlink" Id="rId10"/>
    <Relationship TargetMode="External" Target="https://www.legis.iowa.gov/docs/ico/chapter/147A.21.pdf" Type="http://schemas.openxmlformats.org/officeDocument/2006/relationships/hyperlink" Id="rId11"/>
    <Relationship TargetMode="External" Target="https://www.legis.iowa.gov/docs/iac/rule/641.134.2.pdf" Type="http://schemas.openxmlformats.org/officeDocument/2006/relationships/hyperlink" Id="rId12"/>
    <Relationship TargetMode="External" Target="https://www.legis.iowa.gov/docs/ico/chapter/147A.21.pdf" Type="http://schemas.openxmlformats.org/officeDocument/2006/relationships/hyperlink" Id="rId13"/>
    <Relationship TargetMode="External" Target="https://www.legis.iowa.gov/docs/ico/chapter/147A.23.pdf" Type="http://schemas.openxmlformats.org/officeDocument/2006/relationships/hyperlink" Id="rId14"/>
    <Relationship TargetMode="External" Target="https://www.legis.iowa.gov/docs/ico/chapter/147A.23.pdf" Type="http://schemas.openxmlformats.org/officeDocument/2006/relationships/hyperlink" Id="rId15"/>
    <Relationship TargetMode="External" Target="https://www.legis.iowa.gov/docs/iac/chapter/441.2504.pdf" Type="http://schemas.openxmlformats.org/officeDocument/2006/relationships/hyperlink" Id="rId16"/>
    <Relationship TargetMode="External" Target="https://www.legis.iowa.gov/docs/ico/chapter/147.135.pdf" Type="http://schemas.openxmlformats.org/officeDocument/2006/relationships/hyperlink" Id="rId17"/>
    <Relationship TargetMode="External" Target="https://www.legis.iowa.gov/docs/ico/chapter/147A.pdf" Type="http://schemas.openxmlformats.org/officeDocument/2006/relationships/hyperlink" Id="rId18"/>
    <Relationship TargetMode="External" Target="https://www.legis.iowa.gov/docs/ico/chapter/272C.6.pdf" Type="http://schemas.openxmlformats.org/officeDocument/2006/relationships/hyperlink" Id="rId19"/>
    <Relationship TargetMode="External" Target="https://www.legis.iowa.gov/docs/ico/chapter/147A.23.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272C.pdf" Type="http://schemas.openxmlformats.org/officeDocument/2006/relationships/hyperlink" Id="rId22"/>
    <Relationship TargetMode="External" Target="https://www.legis.iowa.gov/docs/iac/chapter/441.16.pdf" Type="http://schemas.openxmlformats.org/officeDocument/2006/relationships/hyperlink" Id="rId23"/>
    <Relationship TargetMode="External" Target="https://www.legis.iowa.gov/docs/iac/chapter/441.2506.pdf" Type="http://schemas.openxmlformats.org/officeDocument/2006/relationships/hyperlink" Id="rId24"/>
    <Relationship TargetMode="External" Target="https://www.legis.iowa.gov/docs/ico/chapter/147A.23.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