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HUMAN IMMUNODEFICIENCY VIRUS (HIV) INFECTION AND ACQUIRED IMMUNE DEFICIENCY SYNDROME (AIDS)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641—11.1</w:t>
      </w:r>
      <w:r>
        <w:rPr>
          <w:rFonts w:ascii="Times New Roman" w:hAnsi="Times New Roman"/>
          <w:b/>
          <w:i w:val="false"/>
          <w:color w:val="000000"/>
          <w:sz w:val="22"/>
        </w:rPr>
        <w:t xml:space="preserve">(139A,141A)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“AIDS-related condition”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“Alleged offender”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915.40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“Benefits and drug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“BDAP”</w:t>
      </w:r>
      <w:r>
        <w:rPr>
          <w:rFonts w:ascii="Times New Roman" w:hAnsi="Times New Roman"/>
          <w:b w:val="false"/>
          <w:i w:val="false"/>
          <w:color w:val="000000"/>
          <w:sz w:val="22"/>
        </w:rPr>
        <w:t> </w:t>
      </w:r>
      <w:r>
        <w:rPr>
          <w:rFonts w:ascii="Times New Roman" w:hAnsi="Times New Roman"/>
          <w:b w:val="false"/>
          <w:i w:val="false"/>
          <w:color w:val="000000"/>
          <w:sz w:val="22"/>
        </w:rPr>
        <w:t>means the Iowa benefits and drug assistance program, a component of the Ryan White program administered by the health and human services department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“Blood bank”</w:t>
      </w:r>
      <w:r>
        <w:rPr>
          <w:rFonts w:ascii="Times New Roman" w:hAnsi="Times New Roman"/>
          <w:b w:val="false"/>
          <w:i w:val="false"/>
          <w:color w:val="000000"/>
          <w:sz w:val="22"/>
        </w:rPr>
        <w:t> </w:t>
      </w:r>
      <w:r>
        <w:rPr>
          <w:rFonts w:ascii="Times New Roman" w:hAnsi="Times New Roman"/>
          <w:b w:val="false"/>
          <w:i w:val="false"/>
          <w:color w:val="000000"/>
          <w:sz w:val="22"/>
        </w:rPr>
        <w:t>means a facility for the collection, processing, or storage of human blood or blood derivatives, or from which or by means of which human blood or blood derivatives are distributed or otherwise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“Blood-borne viral hepatitis”</w:t>
      </w:r>
      <w:r>
        <w:rPr>
          <w:rFonts w:ascii="Times New Roman" w:hAnsi="Times New Roman"/>
          <w:b w:val="false"/>
          <w:i w:val="false"/>
          <w:color w:val="000000"/>
          <w:sz w:val="22"/>
        </w:rPr>
        <w:t> </w:t>
      </w:r>
      <w:r>
        <w:rPr>
          <w:rFonts w:ascii="Times New Roman" w:hAnsi="Times New Roman"/>
          <w:b w:val="false"/>
          <w:i w:val="false"/>
          <w:color w:val="000000"/>
          <w:sz w:val="22"/>
        </w:rPr>
        <w:t>means hepatitis B or hepatitis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“CDC”</w:t>
      </w:r>
      <w:r>
        <w:rPr>
          <w:rFonts w:ascii="Times New Roman" w:hAnsi="Times New Roman"/>
          <w:b w:val="false"/>
          <w:i w:val="false"/>
          <w:color w:val="000000"/>
          <w:sz w:val="22"/>
        </w:rPr>
        <w:t> </w:t>
      </w:r>
      <w:r>
        <w:rPr>
          <w:rFonts w:ascii="Times New Roman" w:hAnsi="Times New Roman"/>
          <w:b w:val="false"/>
          <w:i w:val="false"/>
          <w:color w:val="000000"/>
          <w:sz w:val="22"/>
        </w:rPr>
        <w:t>means the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of a significant exposure report”</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by an authorized infection preventionist, occupational health professional, or other personnel trained in infection control or infectious disease medicine and designated by a facility to review significant exposure reports that the incident described by the exposed care provider meets the definition of a significant exposure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“Confirmed positive test”</w:t>
      </w:r>
      <w:r>
        <w:rPr>
          <w:rFonts w:ascii="Times New Roman" w:hAnsi="Times New Roman"/>
          <w:b w:val="false"/>
          <w:i w:val="false"/>
          <w:color w:val="000000"/>
          <w:sz w:val="22"/>
        </w:rPr>
        <w:t> </w:t>
      </w:r>
      <w:r>
        <w:rPr>
          <w:rFonts w:ascii="Times New Roman" w:hAnsi="Times New Roman"/>
          <w:b w:val="false"/>
          <w:i w:val="false"/>
          <w:color w:val="000000"/>
          <w:sz w:val="22"/>
        </w:rPr>
        <w:t>means a reactive result or detectable quantity on any HIV-related test, including an antibody test, an antigen test, a culture, a nucleic acid amplification test, or other test or combination of tests that is considered to be confirmatory according to prevailing medical technology and algorithms or guidance from CDC. When the confirmed positive test involves more than one test, all test results should be included in any reports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“Contagious or infectious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hepatitis in any form, meningococcal disease as defined in these rules, AIDS or HIV as defined in Iowa Code section </w:t>
      </w:r>
      <w:hyperlink r:id="rId9">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 tuberculosis as defined in these rules, and any other disease determined to be life-threatening to a person exposed to the disease based upon a determination by the state epidemiologist or medical director and in accordance with guidelines of the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 of corrections”</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designated by a department, agency, division, or service organization to act on behalf of the exposed care provider as a liaison with the facility that received the source patient when the exposure occurred in the field or during patient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 of a plasma center, blood bank, clinical laboratory, organ procurement organization, or public health laboratory”</w:t>
      </w:r>
      <w:r>
        <w:rPr>
          <w:rFonts w:ascii="Times New Roman" w:hAnsi="Times New Roman"/>
          <w:b w:val="false"/>
          <w:i w:val="false"/>
          <w:color w:val="000000"/>
          <w:sz w:val="22"/>
        </w:rPr>
        <w:t> </w:t>
      </w:r>
      <w:r>
        <w:rPr>
          <w:rFonts w:ascii="Times New Roman" w:hAnsi="Times New Roman"/>
          <w:b w:val="false"/>
          <w:i w:val="false"/>
          <w:color w:val="000000"/>
          <w:sz w:val="22"/>
        </w:rPr>
        <w:t>means the person responsible for direction and operation of the facility, the medical director, or the person designated by the director or medical director to ensure compliance with applicable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 personnel”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“emergency medical care provider” as defined in Iowa Code section </w:t>
      </w:r>
      <w:hyperlink r:id="rId10">
        <w:r>
          <w:rPr>
            <w:rStyle w:val="Hyperlink"/>
            <w:rFonts w:ascii="Times New Roman" w:hAnsi="Times New Roman"/>
            <w:b w:val="false"/>
            <w:i w:val="false"/>
            <w:color w:val="000000"/>
            <w:sz w:val="22"/>
          </w:rPr>
          <w:t>147A.1.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“HBV”</w:t>
      </w:r>
      <w:r>
        <w:rPr>
          <w:rFonts w:ascii="Times New Roman" w:hAnsi="Times New Roman"/>
          <w:b w:val="false"/>
          <w:i w:val="false"/>
          <w:color w:val="000000"/>
          <w:sz w:val="22"/>
        </w:rPr>
        <w:t> </w:t>
      </w:r>
      <w:r>
        <w:rPr>
          <w:rFonts w:ascii="Times New Roman" w:hAnsi="Times New Roman"/>
          <w:b w:val="false"/>
          <w:i w:val="false"/>
          <w:color w:val="000000"/>
          <w:sz w:val="22"/>
        </w:rPr>
        <w:t>means hepatitis B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 infection”</w:t>
      </w:r>
      <w:r>
        <w:rPr>
          <w:rFonts w:ascii="Times New Roman" w:hAnsi="Times New Roman"/>
          <w:b w:val="false"/>
          <w:i w:val="false"/>
          <w:color w:val="000000"/>
          <w:sz w:val="22"/>
        </w:rPr>
        <w:t> </w:t>
      </w:r>
      <w:r>
        <w:rPr>
          <w:rFonts w:ascii="Times New Roman" w:hAnsi="Times New Roman"/>
          <w:b w:val="false"/>
          <w:i w:val="false"/>
          <w:color w:val="000000"/>
          <w:sz w:val="22"/>
        </w:rPr>
        <w:t>means having acquired the human immunodeficiency virus.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“HIV-related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health services”</w:t>
      </w:r>
      <w:r>
        <w:rPr>
          <w:rFonts w:ascii="Times New Roman" w:hAnsi="Times New Roman"/>
          <w:b w:val="false"/>
          <w:i w:val="false"/>
          <w:color w:val="000000"/>
          <w:sz w:val="22"/>
        </w:rPr>
        <w:t> </w:t>
      </w:r>
      <w:r>
        <w:rPr>
          <w:rFonts w:ascii="Times New Roman" w:hAnsi="Times New Roman"/>
          <w:b w:val="false"/>
          <w:i w:val="false"/>
          <w:color w:val="000000"/>
          <w:sz w:val="22"/>
        </w:rPr>
        <w:t>means health care services provided by a care provider in a patient’s home or other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“Identifiable third party”</w:t>
      </w:r>
      <w:r>
        <w:rPr>
          <w:rFonts w:ascii="Times New Roman" w:hAnsi="Times New Roman"/>
          <w:b w:val="false"/>
          <w:i w:val="false"/>
          <w:color w:val="000000"/>
          <w:sz w:val="22"/>
        </w:rPr>
        <w:t> </w:t>
      </w:r>
      <w:r>
        <w:rPr>
          <w:rFonts w:ascii="Times New Roman" w:hAnsi="Times New Roman"/>
          <w:b w:val="false"/>
          <w:i w:val="false"/>
          <w:color w:val="000000"/>
          <w:sz w:val="22"/>
        </w:rPr>
        <w:t>means a sexual partner of or a person who shares drug injecting equipment with a person who has been diagnosed with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bodily fluids”</w:t>
      </w:r>
      <w:r>
        <w:rPr>
          <w:rFonts w:ascii="Times New Roman" w:hAnsi="Times New Roman"/>
          <w:b w:val="false"/>
          <w:i w:val="false"/>
          <w:color w:val="000000"/>
          <w:sz w:val="22"/>
        </w:rPr>
        <w:t> </w:t>
      </w:r>
      <w:r>
        <w:rPr>
          <w:rFonts w:ascii="Times New Roman" w:hAnsi="Times New Roman"/>
          <w:b w:val="false"/>
          <w:i w:val="false"/>
          <w:color w:val="000000"/>
          <w:sz w:val="22"/>
        </w:rPr>
        <w:t>means bodily fluids capable of transmitting HIV as listed in “Updated U.S. Public Health Service guidelines for the management of occupational exposures to HIV and recommendations for postexposure prophylaxis,” dated September 25, 2013, and updated May 23, 2018, published by the U.S. Department of Health and Human Services, Public Health Service, Centers for Disease Control, Atlanta, Georgia 30333, on its website. To prevent HIV and blood-borne viral hepatitis disease transmission, this reference indicates that standard precautions should be followed for exposure to the following infectious bodily fluids: blood, amniotic fluid, pericardial fluid, peritoneal fluid, pleural fluid, synovial fluid, cerebrospinal fluid, semen, vaginal secretions, and saliva contaminated with blood. HIV and blood-borne viral hepatitis disease transmission has not occurred from feces, nasal secretions, sputum, sweat, tears, urine, vomitus, and saliva when it is not contaminated with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a clinical or public health laboratory, a plasma center, or a blood bank inside or outside the boundaries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“Meningococcal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acute infectious bacterial meningococcal infection presenting as invasive disease characterized by one or more clinical syndromes, including bacteremia, sepsis, or meningitis. “Meningococcal disease” does not include nasopharyngeal colonization by </w:t>
      </w:r>
      <w:r>
        <w:rPr>
          <w:rFonts w:ascii="Times New Roman" w:hAnsi="Times New Roman"/>
          <w:b w:val="false"/>
          <w:i/>
          <w:color w:val="000000"/>
          <w:sz w:val="22"/>
        </w:rPr>
        <w:t>Neisseria meningitidis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“Payer of last resort”</w:t>
      </w:r>
      <w:r>
        <w:rPr>
          <w:rFonts w:ascii="Times New Roman" w:hAnsi="Times New Roman"/>
          <w:b w:val="false"/>
          <w:i w:val="false"/>
          <w:color w:val="000000"/>
          <w:sz w:val="22"/>
        </w:rPr>
        <w:t> </w:t>
      </w:r>
      <w:r>
        <w:rPr>
          <w:rFonts w:ascii="Times New Roman" w:hAnsi="Times New Roman"/>
          <w:b w:val="false"/>
          <w:i w:val="false"/>
          <w:color w:val="000000"/>
          <w:sz w:val="22"/>
        </w:rPr>
        <w:t>means a requirement to coordinate services and seek payment from all other sources before Ryan White program funds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currently licensed pursuant to Iowa Code chapter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currently licensed under Iowa Code chapter </w:t>
      </w:r>
      <w:hyperlink r:id="rId1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“Plasma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that conducts plasmapheresis.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“Plasmapheresis”</w:t>
      </w:r>
      <w:r>
        <w:rPr>
          <w:rFonts w:ascii="Times New Roman" w:hAnsi="Times New Roman"/>
          <w:b w:val="false"/>
          <w:i w:val="false"/>
          <w:color w:val="000000"/>
          <w:sz w:val="22"/>
        </w:rPr>
        <w:t> </w:t>
      </w:r>
      <w:r>
        <w:rPr>
          <w:rFonts w:ascii="Times New Roman" w:hAnsi="Times New Roman"/>
          <w:b w:val="false"/>
          <w:i w:val="false"/>
          <w:color w:val="000000"/>
          <w:sz w:val="22"/>
        </w:rPr>
        <w:t>means the removal of blood from a human being to obtain plasma with the subsequent reinfusion of the remaining formed elements into the donor but excludes such a procedure performed for the purpose of improving the health of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laboratory”</w:t>
      </w:r>
      <w:r>
        <w:rPr>
          <w:rFonts w:ascii="Times New Roman" w:hAnsi="Times New Roman"/>
          <w:b w:val="false"/>
          <w:i w:val="false"/>
          <w:color w:val="000000"/>
          <w:sz w:val="22"/>
        </w:rPr>
        <w:t> </w:t>
      </w:r>
      <w:r>
        <w:rPr>
          <w:rFonts w:ascii="Times New Roman" w:hAnsi="Times New Roman"/>
          <w:b w:val="false"/>
          <w:i w:val="false"/>
          <w:color w:val="000000"/>
          <w:sz w:val="22"/>
        </w:rPr>
        <w:t>means a laboratory operated by an agency of city, county or state government for the purpose of supporting disease control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“Respite care services”</w:t>
      </w:r>
      <w:r>
        <w:rPr>
          <w:rFonts w:ascii="Times New Roman" w:hAnsi="Times New Roman"/>
          <w:b w:val="false"/>
          <w:i w:val="false"/>
          <w:color w:val="000000"/>
          <w:sz w:val="22"/>
        </w:rPr>
        <w:t> </w:t>
      </w:r>
      <w:r>
        <w:rPr>
          <w:rFonts w:ascii="Times New Roman" w:hAnsi="Times New Roman"/>
          <w:b w:val="false"/>
          <w:i w:val="false"/>
          <w:color w:val="000000"/>
          <w:sz w:val="22"/>
        </w:rPr>
        <w:t>means health care services provided by a care provider in a patient’s home or other residence on a short-term, temporary basis as relief to those who are caring for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“Ryan White program”</w:t>
      </w:r>
      <w:r>
        <w:rPr>
          <w:rFonts w:ascii="Times New Roman" w:hAnsi="Times New Roman"/>
          <w:b w:val="false"/>
          <w:i w:val="false"/>
          <w:color w:val="000000"/>
          <w:sz w:val="22"/>
        </w:rPr>
        <w:t> </w:t>
      </w:r>
      <w:r>
        <w:rPr>
          <w:rFonts w:ascii="Times New Roman" w:hAnsi="Times New Roman"/>
          <w:b w:val="false"/>
          <w:i w:val="false"/>
          <w:color w:val="000000"/>
          <w:sz w:val="22"/>
        </w:rPr>
        <w:t>means the Ryan White part B program administered by the department, which provides case management, behavioral health, and other supportive services, and assistance with the costs of housing, health insurance, and treatment medications for eligible low-income individuals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“Sexually transmitted disease or infection”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“sexually transmitted disease or infection” as defined in rule </w:t>
      </w:r>
      <w:hyperlink r:id="rId19">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exposure”</w:t>
      </w:r>
      <w:r>
        <w:rPr>
          <w:rFonts w:ascii="Times New Roman" w:hAnsi="Times New Roman"/>
          <w:b w:val="false"/>
          <w:i w:val="false"/>
          <w:color w:val="000000"/>
          <w:sz w:val="22"/>
        </w:rPr>
        <w:t> </w:t>
      </w:r>
      <w:r>
        <w:rPr>
          <w:rFonts w:ascii="Times New Roman" w:hAnsi="Times New Roman"/>
          <w:b w:val="false"/>
          <w:i w:val="false"/>
          <w:color w:val="000000"/>
          <w:sz w:val="22"/>
        </w:rPr>
        <w:t>means a situation in which there is a risk of contracting disease through exposure to a patient’s infectious bodily fluids in a manner capable of transmitting an infectious agent as determined by CDC. Exposure includes contact with blood or other infectious bodily fluids to which standard precautions apply through percutaneous inoculation or contact with an open wound, nonintact skin, or mucous membranes during the performance of normal job duties. Significant exposures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Transmission of blood, bloody fluids, or other infectious bodily fluids of the source patient onto a mucous membrane (mouth, nose, or eyes) of the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Transmission of blood, bloody fluids, or other infectious bodily fluids of the source patient onto an open wound or lesion with significant breakdown in the skin barrier, including a needle puncture with a needle contaminated with blood, bloody fluids, or other infectious bodily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exposure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Report of Exposure to HIV or Other Infectious Disease form provided by the department. This is the only form authorized to be used to document a significant exposure to infectious bodily fluids such that the source patient is deemed to consent to a test to determine if the patient has a contagious or infectious disease and is deemed to consent to notification of the care provider of the results of the test pursuant to Iowa Code section </w:t>
      </w:r>
      <w:hyperlink r:id="rId20">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infectious tuberculosis as defined in rule </w:t>
      </w:r>
      <w:hyperlink r:id="rId21">
        <w:r>
          <w:rPr>
            <w:rStyle w:val="Hyperlink"/>
            <w:rFonts w:ascii="Times New Roman" w:hAnsi="Times New Roman"/>
            <w:b w:val="false"/>
            <w:i w:val="false"/>
            <w:color w:val="000000"/>
            <w:sz w:val="22"/>
          </w:rPr>
          <w:t>641—1.1</w:t>
        </w:r>
      </w:hyperlink>
      <w:r>
        <w:rPr>
          <w:rFonts w:ascii="Times New Roman" w:hAnsi="Times New Roman"/>
          <w:b w:val="false"/>
          <w:i w:val="false"/>
          <w:color w:val="000000"/>
          <w:sz w:val="22"/>
        </w:rPr>
        <w:t>(139A).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641—11.2</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testing—obtaining consent—voluntary HIV-related tests for adults who are not pregnant.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Prior to conducting a voluntary HIV-related test on an adult, the health care provider requesting the test shall provide information to the subject of the test concerning HIV testing and where to obtain additional information regarding HIV infection and risk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consent for testing must be obtained as detailed in Iowa Code section </w:t>
      </w:r>
      <w:hyperlink r:id="rId22">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Once an adult has been informed of a confirmed positive HIV-related test, no HIV-specific consent for medical procedures and tests shall be required for subsequent medical procedures and tests involved in the care or treatment of the adult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w:t>
      </w:r>
      <w:r>
        <w:rPr>
          <w:rFonts w:ascii="Times New Roman" w:hAnsi="Times New Roman"/>
          <w:b/>
          <w:i w:val="false"/>
          <w:color w:val="000000"/>
          <w:sz w:val="22"/>
        </w:rPr>
        <w:t xml:space="preserve">(139A,141A) </w:t>
      </w:r>
      <w:r>
        <w:rPr>
          <w:rFonts w:ascii="Times New Roman" w:hAnsi="Times New Roman"/>
          <w:b/>
          <w:i w:val="false"/>
          <w:color w:val="000000"/>
          <w:sz w:val="22"/>
        </w:rPr>
        <w:t xml:space="preserve">HIV testing—obtaining consent—voluntary HIV-related tests for minors who are not pregnant.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consent for testing must be obtained as detailed in Iowa Code section </w:t>
      </w:r>
      <w:hyperlink r:id="rId23">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A minor shall have the legal capacity to act and give consent pursuant to Iowa Code section </w:t>
      </w:r>
      <w:hyperlink r:id="rId24">
        <w:r>
          <w:rPr>
            <w:rStyle w:val="Hyperlink"/>
            <w:rFonts w:ascii="Times New Roman" w:hAnsi="Times New Roman"/>
            <w:b w:val="false"/>
            <w:i w:val="false"/>
            <w:color w:val="000000"/>
            <w:sz w:val="22"/>
          </w:rPr>
          <w:t>139A.35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Prior to conducting a voluntary HIV-related test on a minor, the health care provider requesting the test shall provide information to the subject of the test concerning HIV testing and where to obtain additional information regarding HIV infection and risk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shall be informed prior to testing of requirements for health facilities to inform the minor’s legal guardian of a positive test result pursuant to Iowa Code section </w:t>
      </w:r>
      <w:hyperlink r:id="rId25">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Prior to the test, a minor shall give written consent for performance of the HIV-related test and to the notification of the legal guardian should the test be confirmed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Once a minor has been informed of a confirmed positive HIV-related test and the legal guardian has been notified, no HIV-specific consent for medical procedures and tests shall be required for subsequent medical procedures and tests involved in the care or treatment of a minor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641—11.4</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testing—obtaining consent—voluntary HIV-related tests for pregnant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providers that offer prenatal care to women shall provide HIV testing to all pregnant women as described in Iowa Code section </w:t>
      </w:r>
      <w:hyperlink r:id="rId26">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No written or oral consent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testing shall occur as early as possible during each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provider requesting the test shall make information available about HIV prevention, risk reduction, and treatment to all pregnant women pursuant to Iowa Code section </w:t>
      </w:r>
      <w:hyperlink r:id="rId27">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A pregnant woman who is a minor shall be informed prior to testing of requirements for health facilities to inform the minor’s legal guardian of a positive test result as described in Iowa Code section </w:t>
      </w:r>
      <w:hyperlink r:id="rId28">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pregnant woman declines the test, the decision shall be documented as described in Iowa Code section </w:t>
      </w:r>
      <w:hyperlink r:id="rId29">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A health care provider shall encourage women who decline the test early in prenatal care to be tested at a subsequent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val="false"/>
          <w:color w:val="000000"/>
          <w:sz w:val="22"/>
        </w:rPr>
        <w:t>Once a pregnant woman has been informed of a confirmed positive HIV-related test and, if the pregnant woman is a minor, the legal guardian has been notified, no HIV-specific consent for medical procedures and tests shall be required for subsequent medical procedures and tests involved in the care or treatment of a pregnant woman with HIV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641—11.5</w:t>
      </w:r>
      <w:r>
        <w:rPr>
          <w:rFonts w:ascii="Times New Roman" w:hAnsi="Times New Roman"/>
          <w:b/>
          <w:i w:val="false"/>
          <w:color w:val="000000"/>
          <w:sz w:val="22"/>
        </w:rPr>
        <w:t xml:space="preserve">(141A) </w:t>
      </w:r>
      <w:r>
        <w:rPr>
          <w:rFonts w:ascii="Times New Roman" w:hAnsi="Times New Roman"/>
          <w:b/>
          <w:i w:val="false"/>
          <w:color w:val="000000"/>
          <w:sz w:val="22"/>
        </w:rPr>
        <w:t xml:space="preserve">HIV test results—posttest counseling. </w:t>
      </w:r>
      <w:r>
        <w:rPr>
          <w:rFonts w:ascii="Times New Roman" w:hAnsi="Times New Roman"/>
          <w:b w:val="false"/>
          <w:i w:val="false"/>
          <w:color w:val="000000"/>
          <w:sz w:val="22"/>
        </w:rPr>
        <w:t xml:space="preserve">Upon informing the subject of an HIV-related test of a confirmed positive test result, the health care provider who requested the test or other designated personnel shall initiate counseling concerning the emotional and physical health effects of HIV infection as described in Iowa Code section </w:t>
      </w:r>
      <w:hyperlink r:id="rId30">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641—11.6</w:t>
      </w:r>
      <w:r>
        <w:rPr>
          <w:rFonts w:ascii="Times New Roman" w:hAnsi="Times New Roman"/>
          <w:b/>
          <w:i w:val="false"/>
          <w:color w:val="000000"/>
          <w:sz w:val="22"/>
        </w:rPr>
        <w:t xml:space="preserve">(141A) </w:t>
      </w:r>
      <w:r>
        <w:rPr>
          <w:rFonts w:ascii="Times New Roman" w:hAnsi="Times New Roman"/>
          <w:b/>
          <w:i w:val="false"/>
          <w:color w:val="000000"/>
          <w:sz w:val="22"/>
        </w:rPr>
        <w:t xml:space="preserve">Reporting of diagnoses and HIV-related tests, events, and conditions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following constitute reportable events related to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test result indicating HIV infection,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Confirmed positive results on any HIV-related test or combination of tests, including antibody tests, antigen tests, cultures, and nucleic acid amplification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positive result or report of a detectable quantity on any other HIV detection (non-antibody) tests, and results of all viral loads, including nondetectable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genotypic resistance assays.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AIDS and AIDS-related conditions, including all levels of CD4+ T-lymphocyte 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Birth of an infant to an HIV-infected mother (perinatal exposure) or any (positive, negative, or undetectable) non-antibody detection test (antigen test, viral culture, viral load, or qualitative nucleic acid amplification test) on an infant 18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Death resulting from an AIDS-related condition or death of a person with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events as described in this rule shall be reported to the department pursuant to Iowa Code section </w:t>
      </w:r>
      <w:hyperlink r:id="rId31">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The following reporting requirements are in addition to those described in Iowa Code section </w:t>
      </w:r>
      <w:hyperlink r:id="rId32">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the receipt of a person’s confirmed positive test result indicating HIV infection, the director of a plasma center, organ procurement organization, or public health laboratory that performed the test or that requested the confirmatory test shall make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seven days of the birth of an infant to a mother diagnosed with HIV or a receipt of a laboratory result (positive, negative, or undetectable) of a non-antibody detection test (antigen test, viral culture, viral load, or qualitative nucleic acid amplification test) on an infant 18 months of age or younger, the attending physician shall make a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shall be made on a form provided by the department that includes those form fields described in Iowa Code section </w:t>
      </w:r>
      <w:hyperlink r:id="rId33">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unless approval from the department has been obtained for use of other reporting formats.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All persons who experience a reportable event while receiving services in the state, regardless of state of residence, shall be reported.</w:t>
      </w:r>
    </w:p>
    <w:p>
      <w:pPr>
        <w:spacing w:before="0" w:after="0"/>
        <w:ind w:left="120"/>
        <w:jc w:val="both"/>
      </w:pPr>
      <w:r>
        <w:rPr>
          <w:rFonts w:ascii="Times New Roman" w:hAnsi="Times New Roman"/>
          <w:b w:val="false"/>
          <w:i w:val="false"/>
          <w:color w:val="000000"/>
          <w:sz w:val="22"/>
        </w:rPr>
        <w:t xml:space="preserve">Rules </w:t>
      </w:r>
      <w:hyperlink r:id="rId34">
        <w:r>
          <w:rPr>
            <w:rStyle w:val="Hyperlink"/>
            <w:rFonts w:ascii="Times New Roman" w:hAnsi="Times New Roman"/>
            <w:b w:val="false"/>
            <w:i w:val="false"/>
            <w:color w:val="000000"/>
            <w:sz w:val="22"/>
          </w:rPr>
          <w:t>641—11.1</w:t>
        </w:r>
      </w:hyperlink>
      <w:r>
        <w:rPr>
          <w:rFonts w:ascii="Times New Roman" w:hAnsi="Times New Roman"/>
          <w:b w:val="false"/>
          <w:i w:val="false"/>
          <w:color w:val="000000"/>
          <w:sz w:val="22"/>
        </w:rPr>
        <w:t xml:space="preserve">(139A,141A) through </w:t>
      </w:r>
      <w:hyperlink r:id="rId35">
        <w:r>
          <w:rPr>
            <w:rStyle w:val="Hyperlink"/>
            <w:rFonts w:ascii="Times New Roman" w:hAnsi="Times New Roman"/>
            <w:b w:val="false"/>
            <w:i w:val="false"/>
            <w:color w:val="000000"/>
            <w:sz w:val="22"/>
          </w:rPr>
          <w:t>641—11.6</w:t>
        </w:r>
      </w:hyperlink>
      <w:r>
        <w:rPr>
          <w:rFonts w:ascii="Times New Roman" w:hAnsi="Times New Roman"/>
          <w:b w:val="false"/>
          <w:i w:val="false"/>
          <w:color w:val="000000"/>
          <w:sz w:val="22"/>
        </w:rPr>
        <w:t xml:space="preserve">(141A) are intended to implement Iowa Code sections </w:t>
      </w:r>
      <w:hyperlink r:id="rId36">
        <w:r>
          <w:rPr>
            <w:rStyle w:val="Hyperlink"/>
            <w:rFonts w:ascii="Times New Roman" w:hAnsi="Times New Roman"/>
            <w:b w:val="false"/>
            <w:i w:val="false"/>
            <w:color w:val="000000"/>
            <w:sz w:val="22"/>
          </w:rPr>
          <w:t>139A.35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141A.4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641—11.7</w:t>
      </w:r>
      <w:r>
        <w:rPr>
          <w:rFonts w:ascii="Times New Roman" w:hAnsi="Times New Roman"/>
          <w:b/>
          <w:i w:val="false"/>
          <w:color w:val="000000"/>
          <w:sz w:val="22"/>
        </w:rPr>
        <w:t xml:space="preserve">(141A) </w:t>
      </w:r>
      <w:r>
        <w:rPr>
          <w:rFonts w:ascii="Times New Roman" w:hAnsi="Times New Roman"/>
          <w:b/>
          <w:i w:val="false"/>
          <w:color w:val="000000"/>
          <w:sz w:val="22"/>
        </w:rPr>
        <w:t xml:space="preserve">Confidentiality of information. </w:t>
      </w:r>
      <w:r>
        <w:rPr>
          <w:rFonts w:ascii="Times New Roman" w:hAnsi="Times New Roman"/>
          <w:b w:val="false"/>
          <w:i w:val="false"/>
          <w:color w:val="000000"/>
          <w:sz w:val="22"/>
        </w:rPr>
        <w:t xml:space="preserve">In addition to the entities described in Iowa Code section </w:t>
      </w:r>
      <w:hyperlink r:id="rId40">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 xml:space="preserve">, medical information secured pursuant to Iowa Code section </w:t>
      </w:r>
      <w:hyperlink r:id="rId41">
        <w:r>
          <w:rPr>
            <w:rStyle w:val="Hyperlink"/>
            <w:rFonts w:ascii="Times New Roman" w:hAnsi="Times New Roman"/>
            <w:b w:val="false"/>
            <w:i w:val="false"/>
            <w:color w:val="000000"/>
            <w:sz w:val="22"/>
          </w:rPr>
          <w:t>141A.9(1)</w:t>
        </w:r>
      </w:hyperlink>
      <w:r>
        <w:rPr>
          <w:rFonts w:ascii="Times New Roman" w:hAnsi="Times New Roman"/>
          <w:b w:val="false"/>
          <w:i w:val="false"/>
          <w:color w:val="000000"/>
          <w:sz w:val="22"/>
        </w:rPr>
        <w:t xml:space="preserve"> may be shared between employees and agents of the department and employees and agents of tribes and tribal public health authorities that have a need for the information in the duties related to HIV prevention, disease surveillance, or care of persons with HIV, only as necessary to administer the program for which the information is collected or to administer a program in the tribe or tribal public health authority. Confidential information transferred to other persons or entities under this rule shall continue to maintain its confidential status as described in Iowa Code section </w:t>
      </w:r>
      <w:hyperlink r:id="rId42">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641—11.8</w:t>
      </w:r>
      <w:r>
        <w:rPr>
          <w:rFonts w:ascii="Times New Roman" w:hAnsi="Times New Roman"/>
          <w:b/>
          <w:i w:val="false"/>
          <w:color w:val="000000"/>
          <w:sz w:val="22"/>
        </w:rPr>
        <w:t xml:space="preserve">(135) </w:t>
      </w:r>
      <w:r>
        <w:rPr>
          <w:rFonts w:ascii="Times New Roman" w:hAnsi="Times New Roman"/>
          <w:b/>
          <w:i w:val="false"/>
          <w:color w:val="000000"/>
          <w:sz w:val="22"/>
        </w:rPr>
        <w:t xml:space="preserve">HIV and AIDS training programs where occupational exposure to blood or other potentially infectious materials may occur.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Personnel covered by the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Nonemergency personnel. All supervisory and patient care personnel of any agency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homemaker-home health aide provider agency that receives state homemaker-home health aide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agency that provides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and law enforcement personnel. All personnel from the following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Topics covered. </w:t>
      </w:r>
      <w:r>
        <w:rPr>
          <w:rFonts w:ascii="Times New Roman" w:hAnsi="Times New Roman"/>
          <w:b w:val="false"/>
          <w:i w:val="false"/>
          <w:color w:val="000000"/>
          <w:sz w:val="22"/>
        </w:rPr>
        <w:t>Training programs must address the following topics, consistent with standards from the Occupational Safety and Health Administration of the U.S.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Symptoms and modes of transmission of blood-borne diseases, including human immunodeficiency virus and viral hepatitis,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and handling of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hepatitis B vaccine,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Follow-up procedures in the event of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Timing of training. </w:t>
      </w:r>
      <w:r>
        <w:rPr>
          <w:rFonts w:ascii="Times New Roman" w:hAnsi="Times New Roman"/>
          <w:b w:val="false"/>
          <w:i w:val="false"/>
          <w:color w:val="000000"/>
          <w:sz w:val="22"/>
        </w:rPr>
        <w:t>Training must occur before an initial assignment of tasks where occupational exposure to blood or other potentially infectious materials may take place and at least annually thereafter.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641—11.9</w:t>
      </w:r>
      <w:r>
        <w:rPr>
          <w:rFonts w:ascii="Times New Roman" w:hAnsi="Times New Roman"/>
          <w:b/>
          <w:i w:val="false"/>
          <w:color w:val="000000"/>
          <w:sz w:val="22"/>
        </w:rPr>
        <w:t xml:space="preserve">(139A,141A) </w:t>
      </w:r>
      <w:r>
        <w:rPr>
          <w:rFonts w:ascii="Times New Roman" w:hAnsi="Times New Roman"/>
          <w:b/>
          <w:i w:val="false"/>
          <w:color w:val="000000"/>
          <w:sz w:val="22"/>
        </w:rPr>
        <w:t xml:space="preserve">Partner notification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maintain a partner notification program for persons known to have tested positive for sexually transmitted diseases or infections pursuant to the procedures described in Iowa Code sections </w:t>
      </w:r>
      <w:hyperlink r:id="rId45">
        <w:r>
          <w:rPr>
            <w:rStyle w:val="Hyperlink"/>
            <w:rFonts w:ascii="Times New Roman" w:hAnsi="Times New Roman"/>
            <w:b w:val="false"/>
            <w:i w:val="false"/>
            <w:color w:val="000000"/>
            <w:sz w:val="22"/>
          </w:rPr>
          <w:t>141A.5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139A.33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Services provided include but are not limited to counseling about the disease or infection, risk reduction techniques, linkage to medical care and treatment, assessment and referral to social and prevention services, and elicitation of exposed partners’ names and contact information for referral to testing, as described in the Partner Services Program Manual dated December 2023, adopted and incorporated by this reference. The manual contains the policies and procedures utilized in the implementation of the program. The manual is updated annually. A copy of the manual is available on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The department may delegate its partner notification duties under this rule for persons who have tested positive for HIV or other sexually transmitted diseases to a local health authority or a physician or other health care provider unless the authority or physician or other health care provider refuses or neglects to conduct the partner notification program in a manner deemed to be effective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641—11.10</w:t>
      </w:r>
      <w:r>
        <w:rPr>
          <w:rFonts w:ascii="Times New Roman" w:hAnsi="Times New Roman"/>
          <w:b/>
          <w:i w:val="false"/>
          <w:color w:val="000000"/>
          <w:sz w:val="22"/>
        </w:rPr>
        <w:t xml:space="preserve">(141A) </w:t>
      </w:r>
      <w:r>
        <w:rPr>
          <w:rFonts w:ascii="Times New Roman" w:hAnsi="Times New Roman"/>
          <w:b/>
          <w:i w:val="false"/>
          <w:color w:val="000000"/>
          <w:sz w:val="22"/>
        </w:rPr>
        <w:t xml:space="preserve">Direct notification of an identifiable third party by a physician, physician associate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Direct notification shall be used when a person diagnosed with HIV is having continuing contact with a sexual or needle-sharing partner who is unaware of the person’s infection and when both of the following situations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or physician associate for the person diagnosed with HIV is of the good-faith opinion that the nature of the continuing contact through sexual intercourse or the sharing of drug injecting equipment poses an imminent danger of HIV transmission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associate believes in good faith that the person diagnosed with HIV, despite strong encouragement, has not and will not warn the third party and will not participate in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The department or a physician or a physician assistant may reveal the identity of a person diagnosed with HIV pursuant to this rule only to the extent necessary to protect a third party from the direct threat of transmission. Notification of a person pursuant to this rule shall be made confidentially. Nothing in this rule shall be interpreted to create a duty to warn third parties of the danger of exposure to HIV through contact with a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associate is of the good-faith opinion and belief that third-party notification should be performed, notification of a person pursuant to this rule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by the physician or physician associate,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department at the request of the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Notification by the physician or physician associate. Prior to notification of a third party by the physician or physician associate of a person diagnosed with HIV, the physician or physician associate shall make reasonable efforts to inform, in writing, the person diagnosed with HIV. The written information shall state that, due to the nature of the person’s continuing contact through sexual intercourse or the sharing of drug injecting equipment with the third party and the physician’s or physician associate’s belief that the person diagnosed with HIV, despite strong encouragement, has not and will not warn the third party and will not participate in the voluntary partner notification program, the physician or physician associate is forced to take action to provide notification to the third party. The physician or physician associate, when reasonably possible, shall provide the following information to the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disclosure and the reason for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anticipated date of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party or parties to whom disclosure is to be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Reasonable efforts to inform, in writing, the person diagnosed with HIV shall be deemed satisfied when the physician or physician associate delivers the written notice in person or directs a written notice to the diagnosed person’s last-known address by restricted certified mail, return receipt requested, at least five days prior to the anticipated date of disclosure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When performed by the diagnosed person’s physician or physician associate, notification of the third party and any disclosure concerning the purpose of that notification shall be made in person. However, initial contact with the third party may be made by telephone, mail, or other electronic means to arrange the meeting with the physician or physician associate at the earliest opportunity to discuss an important health matter. The nature of the health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or physician associate attending the person diagnosed with HIV shall provide by telephone to the department any relevant information provided by the person diagnosed with HIV regarding any party with whom the person diagnosed with HIV has had sexual relations or has shared drug injecting equipment. The information may include the third party’s name, address, telephone number, and any other locating information known to the physician or physician associate. The department shall use the information in accordance with procedures established for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the third party and any disclosure concerning the purpose of that notification shall be made in person. However, initial contact with the third party may be made by telephone, mail, or other electronic means to arrange the meeting with the department representative. The nature of the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physician or physician associate of the person diagnosed with HIV and the department shall protect the confidentiality of the third party and the person diagnosed with HIV. The identity of the person diagnosed with HIV shall remain confidential unless it is necessary to reveal it to the third party so that the third party may avoid exposure to HIV. If the identity of the person diagnosed with HIV is revealed, the third party shall be presented with a statement in writing at the time of disclosure that includes the following or substantially similar language: “Confidential information revealing the identity of a person diagnosed with HIV has been disclosed to you. The confidentiality of this information is protected by state law. State law prohibits you from making any further disclosure of the information without the specific written consent of the person to whom it pertains. Any breach of the required confidential treatment of this information subjects you to legal action and civil liability for monetary damages. A general authorization for the release of medical or other information is not sufficient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11.10(8)</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health care provider attending a person diagnosed with HIV has no duty to disclose to or to warn third parties of the dangers of exposure to HIV through contact with the person diagnosed with HIV and is immune from any liability, civil or criminal, for failure to disclose to or warn third parties of the condition of the person diagnosed with HIV.</w:t>
      </w:r>
    </w:p>
    <w:p>
      <w:pPr>
        <w:spacing w:before="0" w:after="0"/>
        <w:ind w:left="120"/>
        <w:jc w:val="both"/>
      </w:pPr>
      <w:r>
        <w:rPr>
          <w:rFonts w:ascii="Times New Roman" w:hAnsi="Times New Roman"/>
          <w:b w:val="false"/>
          <w:i w:val="false"/>
          <w:color w:val="000000"/>
          <w:sz w:val="22"/>
        </w:rPr>
        <w:t xml:space="preserve">Rules </w:t>
      </w:r>
      <w:hyperlink r:id="rId47">
        <w:r>
          <w:rPr>
            <w:rStyle w:val="Hyperlink"/>
            <w:rFonts w:ascii="Times New Roman" w:hAnsi="Times New Roman"/>
            <w:b w:val="false"/>
            <w:i w:val="false"/>
            <w:color w:val="000000"/>
            <w:sz w:val="22"/>
          </w:rPr>
          <w:t>641—11.9</w:t>
        </w:r>
      </w:hyperlink>
      <w:r>
        <w:rPr>
          <w:rFonts w:ascii="Times New Roman" w:hAnsi="Times New Roman"/>
          <w:b w:val="false"/>
          <w:i w:val="false"/>
          <w:color w:val="000000"/>
          <w:sz w:val="22"/>
        </w:rPr>
        <w:t xml:space="preserve">(139A,141A) through </w:t>
      </w:r>
      <w:hyperlink r:id="rId48">
        <w:r>
          <w:rPr>
            <w:rStyle w:val="Hyperlink"/>
            <w:rFonts w:ascii="Times New Roman" w:hAnsi="Times New Roman"/>
            <w:b w:val="false"/>
            <w:i w:val="false"/>
            <w:color w:val="000000"/>
            <w:sz w:val="22"/>
          </w:rPr>
          <w:t>641—11.10</w:t>
        </w:r>
      </w:hyperlink>
      <w:r>
        <w:rPr>
          <w:rFonts w:ascii="Times New Roman" w:hAnsi="Times New Roman"/>
          <w:b w:val="false"/>
          <w:i w:val="false"/>
          <w:color w:val="000000"/>
          <w:sz w:val="22"/>
        </w:rPr>
        <w:t xml:space="preserve">(141A) are intended to implement Iowa Code sections </w:t>
      </w:r>
      <w:hyperlink r:id="rId49">
        <w:r>
          <w:rPr>
            <w:rStyle w:val="Hyperlink"/>
            <w:rFonts w:ascii="Times New Roman" w:hAnsi="Times New Roman"/>
            <w:b w:val="false"/>
            <w:i w:val="false"/>
            <w:color w:val="000000"/>
            <w:sz w:val="22"/>
          </w:rPr>
          <w:t>139A.33</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141A.5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641—11.11</w:t>
      </w:r>
      <w:r>
        <w:rPr>
          <w:rFonts w:ascii="Times New Roman" w:hAnsi="Times New Roman"/>
          <w:b/>
          <w:i w:val="false"/>
          <w:color w:val="000000"/>
          <w:sz w:val="22"/>
        </w:rPr>
        <w:t xml:space="preserve">(139A,141A) </w:t>
      </w:r>
      <w:r>
        <w:rPr>
          <w:rFonts w:ascii="Times New Roman" w:hAnsi="Times New Roman"/>
          <w:b/>
          <w:i w:val="false"/>
          <w:color w:val="000000"/>
          <w:sz w:val="22"/>
        </w:rPr>
        <w:t xml:space="preserve">Care provider notification upon exposure to contagious or infectious diseases—exposures in nonclinical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If a care provider sustains a significant exposure from a patient while rendering health care or other services, other than home-health or respite care services, outside of a health care facility or hospital, the care provider shall file a significant exposure report as soon as reasonably possible following the exposure. When the exposure occurred outside a clinical setting, a care provider who has sustained a significant exposure should file this report with the infection control, occupational health, or other designated office of the facility to which the patient was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source patient to whom the care provider was exposed is deemed to consent to a test to determine if the patient has a contagious or infectious disease and is deemed to consent to notification of the care provider or the designated representative of the results of the test, upon submission of a significant exposure report and certification of the significant exposure by an authorized infection preventionist, occupational health professional, or other professional trained in infectious disease control. No further consent from the source patient is required. However, as soon as is practicable, the source patient shall be notified that an exposure has occurred and shall be told which specific tests have been performed to determine the presence of contagious or infectious diseases. If the source patient is a minor, the minor shall be informed that, upon positive confirmation of an HIV-related test result, the minor’s legal guardian shall be informed of the positive result pursuant to Iowa Code section </w:t>
      </w:r>
      <w:hyperlink r:id="rId51">
        <w:r>
          <w:rPr>
            <w:rStyle w:val="Hyperlink"/>
            <w:rFonts w:ascii="Times New Roman" w:hAnsi="Times New Roman"/>
            <w:b w:val="false"/>
            <w:i w:val="false"/>
            <w:color w:val="000000"/>
            <w:sz w:val="22"/>
          </w:rPr>
          <w:t>141A.7(3)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clinics, or other health care facilities; institutions administered by the department of corrections; and jails shall have written policies and procedures pursuant to Iowa Code section </w:t>
      </w:r>
      <w:hyperlink r:id="rId52">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 xml:space="preserve">. In addition to those policies and procedures required by Iowa Code section </w:t>
      </w:r>
      <w:hyperlink r:id="rId53">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 hospitals, clinics, or other health care facilities; institutions administered by the department of corrections; and jails shall have written policies and procedures for reviewing and certifying significant exposure report forms, testing a source patient, and notifying a care provider who sustained a significant exposure while rendering health care services or other services to the source patient when the source patient is delivered to the facility and the exposure occurred prior to the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The hospital, clinic, or other health care facility to whom the source patient is delivered shall conduct the test. If the source patient is delivered to an institution administered by the department of corrections, the test shall be conducted by the staff physician of the institution. If the source patient is delivered to a jail, the test shall be conducted by the attending physician of the jail or the county medical examiner. If the source patient was deemed to consent upon certification of a significant exposure report, the sample and test results shall only be identified by a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test result is positive, the hospital, clinic, or other health care facility, or other person performing the test shall notify the source patient and make any required reports to the department pursuant to Iowa Code sections </w:t>
      </w:r>
      <w:hyperlink r:id="rId54">
        <w:r>
          <w:rPr>
            <w:rStyle w:val="Hyperlink"/>
            <w:rFonts w:ascii="Times New Roman" w:hAnsi="Times New Roman"/>
            <w:b w:val="false"/>
            <w:i w:val="false"/>
            <w:color w:val="000000"/>
            <w:sz w:val="22"/>
          </w:rPr>
          <w:t>139A.3</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The report to the department shall include the name of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11.11(6)</w:t>
      </w:r>
      <w:r>
        <w:rPr>
          <w:rFonts w:ascii="Times New Roman" w:hAnsi="Times New Roman"/>
          <w:b w:val="false"/>
          <w:i w:val="false"/>
          <w:color w:val="000000"/>
          <w:sz w:val="22"/>
        </w:rPr>
        <w:t> </w:t>
      </w:r>
      <w:r>
        <w:rPr>
          <w:rFonts w:ascii="Times New Roman" w:hAnsi="Times New Roman"/>
          <w:b w:val="false"/>
          <w:i w:val="false"/>
          <w:color w:val="000000"/>
          <w:sz w:val="22"/>
        </w:rPr>
        <w:t>If a source patient is diagnosed or confirmed as having a contagious or infectious disease, the hospital, clinic, or other health care facility, or other person performing the test shall notify the care provider or the designated representative of the care provider who shall then notify the care provider. If the source patient is a minor and is diagnosed with HIV infection, the hospital, clinic, or other health facility, or other person performing the test shall notify the legal guardian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11.11(7)</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advise the care provider of possible exposure to a particular contagious or infectious disease and recommend that the provider seek medical attention. The notification shall be provided as soon as reasonably possible following determination that the source patient has a contagious or infectious disease. The notification shall not include the name of the source patient unless the patient consents. If the care provider who sustained a significant exposure determines the identity of a source patient who has been diagnosed or confirmed as having a contagious or infectious disease, the identity of the source patient shall be confidential information and shall not be disclosed by the care provider to any other person unless a specific written release is obtained from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11.11(8)</w:t>
      </w:r>
      <w:r>
        <w:rPr>
          <w:rFonts w:ascii="Times New Roman" w:hAnsi="Times New Roman"/>
          <w:b w:val="false"/>
          <w:i w:val="false"/>
          <w:color w:val="000000"/>
          <w:sz w:val="22"/>
        </w:rPr>
        <w:t> </w:t>
      </w:r>
      <w:r>
        <w:rPr>
          <w:rFonts w:ascii="Times New Roman" w:hAnsi="Times New Roman"/>
          <w:b w:val="false"/>
          <w:i w:val="false"/>
          <w:color w:val="000000"/>
          <w:sz w:val="22"/>
        </w:rPr>
        <w:t>This rule does not preclude a hospital, clinic, other health care facility, or a health care provider from providing notification to a care provider under circumstances in which the hospital’s, clinic’s, other health care facility’s, or health care provider’s policy provides for notification of the hospital’s, clinic’s, other health care facility’s, or health care provider’s own employees of exposure to a contagious or infectious disease that is not life-threatening if the notice does not reveal a source patient’s name, unless the patient consents.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11.11(9)</w:t>
      </w:r>
      <w:r>
        <w:rPr>
          <w:rFonts w:ascii="Times New Roman" w:hAnsi="Times New Roman"/>
          <w:b w:val="false"/>
          <w:i w:val="false"/>
          <w:color w:val="000000"/>
          <w:sz w:val="22"/>
        </w:rPr>
        <w:t> </w:t>
      </w:r>
      <w:r>
        <w:rPr>
          <w:rFonts w:ascii="Times New Roman" w:hAnsi="Times New Roman"/>
          <w:b w:val="false"/>
          <w:i w:val="false"/>
          <w:color w:val="000000"/>
          <w:sz w:val="22"/>
        </w:rPr>
        <w:t>The infection control, occupational health, or other designated office of the facility shall maintain a record of all significant exposure reports it receives and shall retain each report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significant exposure report form is a confidential record pursuant to Iowa Code section </w:t>
      </w:r>
      <w:hyperlink r:id="rId56">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641—11.12</w:t>
      </w:r>
      <w:r>
        <w:rPr>
          <w:rFonts w:ascii="Times New Roman" w:hAnsi="Times New Roman"/>
          <w:b/>
          <w:i w:val="false"/>
          <w:color w:val="000000"/>
          <w:sz w:val="22"/>
        </w:rPr>
        <w:t xml:space="preserve">(139A,141A) </w:t>
      </w:r>
      <w:r>
        <w:rPr>
          <w:rFonts w:ascii="Times New Roman" w:hAnsi="Times New Roman"/>
          <w:b/>
          <w:i w:val="false"/>
          <w:color w:val="000000"/>
          <w:sz w:val="22"/>
        </w:rPr>
        <w:t xml:space="preserve">Care provider notification upon exposure to contagious or infectious diseases—exposures in clinical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val="false"/>
          <w:color w:val="000000"/>
          <w:sz w:val="22"/>
        </w:rPr>
        <w:t>If a care provider sustains a significant exposure from a patient while rendering health care services or other services within a hospital, clinic, or other health care facility or while delivering home-health or respite care services, the care provider shall file a report as soon as reasonably possible following the exposure. A care provider who has sustained a significant exposure should file the report with the infection control, occupational health, or other office designated by the facility in which the exposure occurred, or by the facility that has oversight for the delivery of home-health or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general consent form was signed and in effect at the time of the significant exposure and the source patient is an adult, a significant exposure report form shall not be required to document the significant exposure. The health care facility or hospital may use an employee incident report or other similar form for this purpose. The source patient to whom the care provider was exposed is deemed to consent to a test to determine if the patient has a contagious or infectious disease and is deemed to consent to notification of the care provider or the designated representative of the results of the test, upon submission and review of an employee incident report and certification of the significant exposure by an authorized infection preventionist, occupational health professional, or other professional trained in infectious disease control. No further consent from the source patient is required. However, as soon as is practicable, the source patient shall be notified that an exposure has occurred and shall be told which specific tests have been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no consent form was signed or in effect at the time of the exposure, or if the source patient is a minor, the source patient is deemed to consent to a test to determine if the patient has a contagious or infectious disease and is deemed to consent to notification of the care provider or the designated representative of the results of the test upon submission of a significant exposure report form and certification of the significant exposure by an authorized infection preventionist, occupational health professional, or other professional trained in infectious disease control. As soon as is practicable, the source patient shall be notified that an exposure has occurred and shall be told which specific tests have been performed to determine the presence of contagious or infectious diseases. If the source patient is a minor, the minor shall be informed that, upon positive confirmation of an HIV-related test result, the minor’s legal guardian shall be informed of the positive result pursuant to Iowa Code section </w:t>
      </w:r>
      <w:hyperlink r:id="rId57">
        <w:r>
          <w:rPr>
            <w:rStyle w:val="Hyperlink"/>
            <w:rFonts w:ascii="Times New Roman" w:hAnsi="Times New Roman"/>
            <w:b w:val="false"/>
            <w:i w:val="false"/>
            <w:color w:val="000000"/>
            <w:sz w:val="22"/>
          </w:rPr>
          <w:t>141A.7(3)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val="false"/>
          <w:color w:val="000000"/>
          <w:sz w:val="22"/>
        </w:rPr>
        <w:t>Hospitals, clinics, or other health care facilities; institutions administered by the department of corrections; and jails shall have written policies and procedures for reviewing and certifying significant exposure report forms or other employee incident report forms, testing a source patient, and notifying a care provider who sustained a significant exposure while rendering health care services or other services to a patient during the admission, care, or treatment of the patient at the facility or while delivering home-health or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val="false"/>
          <w:color w:val="000000"/>
          <w:sz w:val="22"/>
        </w:rPr>
        <w:t>The hospital, clinic, or other health care facility where exposure occurred or that has oversight for the delivery of home-health or respite care services shall conduct the test. If a general consent form was signed and in effect and the source patient is an adult, the sample and test results shall be identified by name. If the source patient was deemed to consent to a test and to notification of the care provider upon certification of a significant exposure report pursuant to these rules because no general consent was signed and in effect at the time of the exposure or because the source patient is a minor, the sample and test results shall be identified only by a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test result is positive, the hospital, clinic, or other health care facility or other person performing the test shall notify the source patient and make any required reports to the department pursuant to Iowa Code sections </w:t>
      </w:r>
      <w:hyperlink r:id="rId58">
        <w:r>
          <w:rPr>
            <w:rStyle w:val="Hyperlink"/>
            <w:rFonts w:ascii="Times New Roman" w:hAnsi="Times New Roman"/>
            <w:b w:val="false"/>
            <w:i w:val="false"/>
            <w:color w:val="000000"/>
            <w:sz w:val="22"/>
          </w:rPr>
          <w:t>139A.3</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The reports to the department shall include the name of the source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val="false"/>
          <w:color w:val="000000"/>
          <w:sz w:val="22"/>
        </w:rPr>
        <w:t>If a source patient is diagnosed or confirmed as having a contagious or infectious disease, the hospital, clinic, or other health care facility or other person performing the test shall notify the care provider or the designated representative of the care provider who shall then notify the care provider. If the source patient is a minor and is diagnosed with HIV infection, the hospital, clinic, or other health care facility or other person performing the test shall notify the legal guardian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advise the care provider of possible exposure to a particular contagious or infectious disease and recommend that the provider seek medical attention. The notification shall be provided as soon as reasonably possible following determination that the source patient has a contagious or 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11.12(7)</w:t>
      </w:r>
      <w:r>
        <w:rPr>
          <w:rFonts w:ascii="Times New Roman" w:hAnsi="Times New Roman"/>
          <w:b w:val="false"/>
          <w:i w:val="false"/>
          <w:color w:val="000000"/>
          <w:sz w:val="22"/>
        </w:rPr>
        <w:t> </w:t>
      </w:r>
      <w:r>
        <w:rPr>
          <w:rFonts w:ascii="Times New Roman" w:hAnsi="Times New Roman"/>
          <w:b w:val="false"/>
          <w:i w:val="false"/>
          <w:color w:val="000000"/>
          <w:sz w:val="22"/>
        </w:rPr>
        <w:t>The infection control, occupational health, or other designated office of the facility shall maintain a record of all significant exposure reports it receives and shall retain each report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significant exposure report form is a confidential record pursuant to Iowa Code section </w:t>
      </w:r>
      <w:hyperlink r:id="rId60">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Rules </w:t>
      </w:r>
      <w:hyperlink r:id="rId61">
        <w:r>
          <w:rPr>
            <w:rStyle w:val="Hyperlink"/>
            <w:rFonts w:ascii="Times New Roman" w:hAnsi="Times New Roman"/>
            <w:b w:val="false"/>
            <w:i w:val="false"/>
            <w:color w:val="000000"/>
            <w:sz w:val="22"/>
          </w:rPr>
          <w:t>641—11.11</w:t>
        </w:r>
      </w:hyperlink>
      <w:r>
        <w:rPr>
          <w:rFonts w:ascii="Times New Roman" w:hAnsi="Times New Roman"/>
          <w:b w:val="false"/>
          <w:i w:val="false"/>
          <w:color w:val="000000"/>
          <w:sz w:val="22"/>
        </w:rPr>
        <w:t xml:space="preserve">(139A,141A) through </w:t>
      </w:r>
      <w:hyperlink r:id="rId62">
        <w:r>
          <w:rPr>
            <w:rStyle w:val="Hyperlink"/>
            <w:rFonts w:ascii="Times New Roman" w:hAnsi="Times New Roman"/>
            <w:b w:val="false"/>
            <w:i w:val="false"/>
            <w:color w:val="000000"/>
            <w:sz w:val="22"/>
          </w:rPr>
          <w:t>641—11.12</w:t>
        </w:r>
      </w:hyperlink>
      <w:r>
        <w:rPr>
          <w:rFonts w:ascii="Times New Roman" w:hAnsi="Times New Roman"/>
          <w:b w:val="false"/>
          <w:i w:val="false"/>
          <w:color w:val="000000"/>
          <w:sz w:val="22"/>
        </w:rPr>
        <w:t xml:space="preserve">(139A,141A) are intended to implement Iowa Code section </w:t>
      </w:r>
      <w:hyperlink r:id="rId63">
        <w:r>
          <w:rPr>
            <w:rStyle w:val="Hyperlink"/>
            <w:rFonts w:ascii="Times New Roman" w:hAnsi="Times New Roman"/>
            <w:b w:val="false"/>
            <w:i w:val="false"/>
            <w:color w:val="000000"/>
            <w:sz w:val="22"/>
          </w:rPr>
          <w:t>139A.19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641—11.13</w:t>
      </w:r>
      <w:r>
        <w:rPr>
          <w:rFonts w:ascii="Times New Roman" w:hAnsi="Times New Roman"/>
          <w:b/>
          <w:i w:val="false"/>
          <w:color w:val="000000"/>
          <w:sz w:val="22"/>
        </w:rPr>
        <w:t xml:space="preserve">(915) </w:t>
      </w:r>
      <w:r>
        <w:rPr>
          <w:rFonts w:ascii="Times New Roman" w:hAnsi="Times New Roman"/>
          <w:b/>
          <w:i w:val="false"/>
          <w:color w:val="000000"/>
          <w:sz w:val="22"/>
        </w:rPr>
        <w:t xml:space="preserve">Testing, reporting, and counseling of convicted or alleged sexual assault assailants.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ordering an HIV-related test on a convicted or alleged offender pursuant to Iowa Code sections </w:t>
      </w:r>
      <w:hyperlink r:id="rId64">
        <w:r>
          <w:rPr>
            <w:rStyle w:val="Hyperlink"/>
            <w:rFonts w:ascii="Times New Roman" w:hAnsi="Times New Roman"/>
            <w:b w:val="false"/>
            <w:i w:val="false"/>
            <w:color w:val="000000"/>
            <w:sz w:val="22"/>
          </w:rPr>
          <w:t>915.40 through 915.43</w:t>
        </w:r>
      </w:hyperlink>
      <w:r>
        <w:rPr>
          <w:rFonts w:ascii="Times New Roman" w:hAnsi="Times New Roman"/>
          <w:b w:val="false"/>
          <w:i w:val="false"/>
          <w:color w:val="000000"/>
          <w:sz w:val="22"/>
        </w:rPr>
        <w:t xml:space="preserve">, the physician or practitioner shall provide information to the subject of the test concerning testing and where to obtain additional information on HIV transmission and risk reduction pursuant to Iowa Code section </w:t>
      </w:r>
      <w:hyperlink r:id="rId65">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 xml:space="preserve">. The department may be contacted for brochures that may assist in meeting the requirements of Iowa Code section </w:t>
      </w:r>
      <w:hyperlink r:id="rId66">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that the subject of an HIV-related test is informed of confirmed positive test results, the physician or other practitioner who ordered the test shall initiate counseling concerning the emotional and physical health effects of HIV infection, as required under Iowa Code section </w:t>
      </w:r>
      <w:hyperlink r:id="rId67">
        <w:r>
          <w:rPr>
            <w:rStyle w:val="Hyperlink"/>
            <w:rFonts w:ascii="Times New Roman" w:hAnsi="Times New Roman"/>
            <w:b w:val="false"/>
            <w:i w:val="false"/>
            <w:color w:val="000000"/>
            <w:sz w:val="22"/>
          </w:rPr>
          <w:t>141A.7</w:t>
        </w:r>
      </w:hyperlink>
      <w:r>
        <w:rPr>
          <w:rFonts w:ascii="Times New Roman" w:hAnsi="Times New Roman"/>
          <w:b w:val="false"/>
          <w:i w:val="false"/>
          <w:color w:val="000000"/>
          <w:sz w:val="22"/>
        </w:rPr>
        <w:t xml:space="preserve">, and shall make any required reports to the department pursuant to Iowa Code section </w:t>
      </w:r>
      <w:hyperlink r:id="rId68">
        <w:r>
          <w:rPr>
            <w:rStyle w:val="Hyperlink"/>
            <w:rFonts w:ascii="Times New Roman" w:hAnsi="Times New Roman"/>
            <w:b w:val="false"/>
            <w:i w:val="false"/>
            <w:color w:val="000000"/>
            <w:sz w:val="22"/>
          </w:rPr>
          <w:t>141A.6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or other practitioner shall encourage a person diagnosed with HIV to participate in the voluntary partner notification program pursuant to rule </w:t>
      </w:r>
      <w:hyperlink r:id="rId69">
        <w:r>
          <w:rPr>
            <w:rStyle w:val="Hyperlink"/>
            <w:rFonts w:ascii="Times New Roman" w:hAnsi="Times New Roman"/>
            <w:b w:val="false"/>
            <w:i w:val="false"/>
            <w:color w:val="000000"/>
            <w:sz w:val="22"/>
          </w:rPr>
          <w:t>641—11.9</w:t>
        </w:r>
      </w:hyperlink>
      <w:r>
        <w:rPr>
          <w:rFonts w:ascii="Times New Roman" w:hAnsi="Times New Roman"/>
          <w:b w:val="false"/>
          <w:i w:val="false"/>
          <w:color w:val="000000"/>
          <w:sz w:val="22"/>
        </w:rPr>
        <w:t>(139A,141A).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or other practitioner may provide to the department any relevant information provided by the person diagnosed with HIV regarding any party with whom the person has had sexual relations or has shared drug injecting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135.11(22)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641—11.14</w:t>
      </w:r>
      <w:r>
        <w:rPr>
          <w:rFonts w:ascii="Times New Roman" w:hAnsi="Times New Roman"/>
          <w:b/>
          <w:i w:val="false"/>
          <w:color w:val="000000"/>
          <w:sz w:val="22"/>
        </w:rPr>
        <w:t xml:space="preserve">(141A) </w:t>
      </w:r>
      <w:r>
        <w:rPr>
          <w:rFonts w:ascii="Times New Roman" w:hAnsi="Times New Roman"/>
          <w:b/>
          <w:i w:val="false"/>
          <w:color w:val="000000"/>
          <w:sz w:val="22"/>
        </w:rPr>
        <w:t xml:space="preserve">Ryan White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and incorporation. </w:t>
      </w:r>
      <w:r>
        <w:rPr>
          <w:rFonts w:ascii="Times New Roman" w:hAnsi="Times New Roman"/>
          <w:b w:val="false"/>
          <w:i w:val="false"/>
          <w:color w:val="000000"/>
          <w:sz w:val="22"/>
        </w:rPr>
        <w:t>The Ryan White program is a state-administered program that provides support services and assistance with the costs of health insurance and treatment medications for eligible low-income individuals diagnosed with HIV when adequate state and federal funding is available for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is authorized under </w:t>
      </w:r>
      <w:r>
        <w:rPr>
          <w:rFonts w:ascii="Times New Roman" w:hAnsi="Times New Roman"/>
          <w:b w:val="false"/>
          <w:i w:val="false"/>
          <w:color w:val="000000"/>
          <w:sz w:val="22"/>
        </w:rPr>
        <w:t>Part B of Title XXVI of the Public Health Service Act</w:t>
      </w:r>
      <w:r>
        <w:rPr>
          <w:rFonts w:ascii="Times New Roman" w:hAnsi="Times New Roman"/>
          <w:b w:val="false"/>
          <w:i w:val="false"/>
          <w:color w:val="000000"/>
          <w:sz w:val="22"/>
        </w:rPr>
        <w:t>, as amended by the Ryan White HIV/AIDS Treatment Extension Act of 2009 (Public Law 111-87). This legislation requires that the Ryan White program, including the benefits and drug assistance program, be the payer of last resort for HIV-related services. The Ryan White program is not an entitlement program and does not create a right to assistance. In the event that funding is exhausted or terminated or there are changes in state or federal guidelines, programs, or regulations that impact funding available to the program, the department reserves the right to close enrollment, cease to provide specific services, or alter eligibility criteria until such time that funding is again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Ryan White program will be administered in accordance with the Ryan White Part B Client Services Manual dated December 2023, adopted and incorporated by this reference. The manual contains the policies and procedures utilized in the implementation of the program. The manual is updated annually. A copy of the manual is available at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benefits and drug assistance program will be administered in accordance with the Benefits and Drug Assistance Program Manual dated December 2023, adopted and incorporated by this reference. The manual contains the policies and procedures utilized in the implementation of the program. The manual is updated annually. A copy of the manual is available at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with Iowa Medicaid. </w:t>
      </w:r>
      <w:r>
        <w:rPr>
          <w:rFonts w:ascii="Times New Roman" w:hAnsi="Times New Roman"/>
          <w:b w:val="false"/>
          <w:i w:val="false"/>
          <w:color w:val="000000"/>
          <w:sz w:val="22"/>
        </w:rPr>
        <w:t>To ensure that the Ryan White program is the payer of last resort and to maximize the efficiency and effectiveness of HIV-related prevention and care services, Iowa Medicaid shall grant the department access to client information for persons enrolled in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Applications, assessments, and all other client-level information received or maintained by the department in connection with the Ryan White program shall be considered confidential information in accordance with Iowa Code section </w:t>
      </w:r>
      <w:hyperlink r:id="rId71">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141A.3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9/18/87—published 10/7/87, effective 9/18/87]</w:t>
      </w:r>
    </w:p>
    <w:p>
      <w:pPr>
        <w:spacing w:before="0" w:after="0"/>
        <w:ind w:left="120"/>
        <w:jc w:val="center"/>
      </w:pPr>
      <w:r>
        <w:rPr>
          <w:rFonts w:ascii="Times New Roman" w:hAnsi="Times New Roman"/>
          <w:b w:val="false"/>
          <w:i w:val="false"/>
          <w:color w:val="000000"/>
          <w:sz w:val="21"/>
        </w:rPr>
        <w:t>[Filed 9/26/88, Notice 8/10/88—published 10/19/88, effective 11/23/88]</w:t>
      </w:r>
    </w:p>
    <w:p>
      <w:pPr>
        <w:spacing w:before="0" w:after="0"/>
        <w:ind w:left="120"/>
        <w:jc w:val="center"/>
      </w:pPr>
      <w:r>
        <w:rPr>
          <w:rFonts w:ascii="Times New Roman" w:hAnsi="Times New Roman"/>
          <w:b w:val="false"/>
          <w:i w:val="false"/>
          <w:color w:val="000000"/>
          <w:sz w:val="21"/>
        </w:rPr>
        <w:t>[Filed emergency 1/11/89—published 2/8/89, effective 1/11/89]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emergency 9/28/90—published 10/17/90, effective 10/1/90]</w:t>
      </w:r>
    </w:p>
    <w:p>
      <w:pPr>
        <w:spacing w:before="0" w:after="0"/>
        <w:ind w:left="120"/>
        <w:jc w:val="center"/>
      </w:pPr>
      <w:r>
        <w:rPr>
          <w:rFonts w:ascii="Times New Roman" w:hAnsi="Times New Roman"/>
          <w:b w:val="false"/>
          <w:i w:val="false"/>
          <w:color w:val="000000"/>
          <w:sz w:val="21"/>
        </w:rPr>
        <w:t>[Filed emergency 11/9/90—published 11/28/90, effective 11/9/90]</w:t>
      </w:r>
    </w:p>
    <w:p>
      <w:pPr>
        <w:spacing w:before="0" w:after="0"/>
        <w:ind w:left="120"/>
        <w:jc w:val="center"/>
      </w:pPr>
      <w:r>
        <w:rPr>
          <w:rFonts w:ascii="Times New Roman" w:hAnsi="Times New Roman"/>
          <w:b w:val="false"/>
          <w:i w:val="false"/>
          <w:color w:val="000000"/>
          <w:sz w:val="21"/>
        </w:rPr>
        <w:t>[Filed 3/15/91, Notice 11/28/90—published 4/3/91, effective 5/8/91]</w:t>
      </w:r>
    </w:p>
    <w:p>
      <w:pPr>
        <w:spacing w:before="0" w:after="0"/>
        <w:ind w:left="120"/>
        <w:jc w:val="center"/>
      </w:pPr>
      <w:r>
        <w:rPr>
          <w:rFonts w:ascii="Times New Roman" w:hAnsi="Times New Roman"/>
          <w:b w:val="false"/>
          <w:i w:val="false"/>
          <w:color w:val="000000"/>
          <w:sz w:val="21"/>
        </w:rPr>
        <w:t>[Filed emergency 5/10/91—published 5/29/91, effective 6/1/91]</w:t>
      </w:r>
    </w:p>
    <w:p>
      <w:pPr>
        <w:spacing w:before="0" w:after="0"/>
        <w:ind w:left="120"/>
        <w:jc w:val="center"/>
      </w:pPr>
      <w:r>
        <w:rPr>
          <w:rFonts w:ascii="Times New Roman" w:hAnsi="Times New Roman"/>
          <w:b w:val="false"/>
          <w:i w:val="false"/>
          <w:color w:val="000000"/>
          <w:sz w:val="21"/>
        </w:rPr>
        <w:t>[Filed emergency 3/11/92—published 4/1/92, effective 4/1/92]</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11/15/93, Notice 8/4/93—published 12/8/93, effective 1/12/94]</w:t>
      </w:r>
    </w:p>
    <w:p>
      <w:pPr>
        <w:spacing w:before="0" w:after="0"/>
        <w:ind w:left="120"/>
        <w:jc w:val="center"/>
      </w:pPr>
      <w:r>
        <w:rPr>
          <w:rFonts w:ascii="Times New Roman" w:hAnsi="Times New Roman"/>
          <w:b w:val="false"/>
          <w:i w:val="false"/>
          <w:color w:val="000000"/>
          <w:sz w:val="21"/>
        </w:rPr>
        <w:t>[Filed 11/15/93, Notice 9/1/93—published 12/8/93, effective 1/12/94]</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7/11/97, Notice 6/4/97—published 7/30/97, effective 9/3/97]</w:t>
      </w:r>
    </w:p>
    <w:p>
      <w:pPr>
        <w:spacing w:before="0" w:after="0"/>
        <w:ind w:left="120"/>
        <w:jc w:val="center"/>
      </w:pPr>
      <w:r>
        <w:rPr>
          <w:rFonts w:ascii="Times New Roman" w:hAnsi="Times New Roman"/>
          <w:b w:val="false"/>
          <w:i w:val="false"/>
          <w:color w:val="000000"/>
          <w:sz w:val="21"/>
        </w:rPr>
        <w:t>[Filed 9/18/98, Notice 7/15/98—published 10/7/98, effective 11/11/98]</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emergency 1/9/08—published 1/30/08, effective 1/9/08]</w:t>
      </w:r>
    </w:p>
    <w:p>
      <w:pPr>
        <w:spacing w:before="0" w:after="0"/>
        <w:ind w:left="120"/>
        <w:jc w:val="center"/>
      </w:pPr>
      <w:r>
        <w:rPr>
          <w:rFonts w:ascii="Times New Roman" w:hAnsi="Times New Roman"/>
          <w:b w:val="false"/>
          <w:i w:val="false"/>
          <w:color w:val="000000"/>
          <w:sz w:val="21"/>
        </w:rPr>
        <w:t>[Filed 3/13/08, Notice 1/30/08—published 4/9/08, effective 5/14/08]</w:t>
      </w:r>
    </w:p>
    <w:p>
      <w:pPr>
        <w:spacing w:before="0" w:after="0"/>
        <w:ind w:left="120"/>
        <w:jc w:val="center"/>
      </w:pPr>
      <w:r>
        <w:rPr>
          <w:rFonts w:ascii="Times New Roman" w:hAnsi="Times New Roman"/>
          <w:b w:val="false"/>
          <w:i w:val="false"/>
          <w:color w:val="000000"/>
          <w:sz w:val="21"/>
        </w:rPr>
        <w:t>[Filed ARC 0755C</w:t>
      </w:r>
      <w:r>
        <w:rPr>
          <w:rFonts w:ascii="Times New Roman" w:hAnsi="Times New Roman"/>
          <w:b w:val="false"/>
          <w:i w:val="false"/>
          <w:color w:val="000000"/>
          <w:sz w:val="21"/>
        </w:rPr>
        <w:t xml:space="preserve"> (Notice ARC 0650C, IAB 3/20/13)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1215C</w:t>
      </w:r>
      <w:r>
        <w:rPr>
          <w:rFonts w:ascii="Times New Roman" w:hAnsi="Times New Roman"/>
          <w:b w:val="false"/>
          <w:i w:val="false"/>
          <w:color w:val="000000"/>
          <w:sz w:val="21"/>
        </w:rPr>
        <w:t xml:space="preserve"> (Notice ARC 1044C,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2934C</w:t>
      </w:r>
      <w:r>
        <w:rPr>
          <w:rFonts w:ascii="Times New Roman" w:hAnsi="Times New Roman"/>
          <w:b w:val="false"/>
          <w:i w:val="false"/>
          <w:color w:val="000000"/>
          <w:sz w:val="21"/>
        </w:rPr>
        <w:t xml:space="preserve"> (Notice ARC 2820C, IAB 11/23/16)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6435C</w:t>
      </w:r>
      <w:r>
        <w:rPr>
          <w:rFonts w:ascii="Times New Roman" w:hAnsi="Times New Roman"/>
          <w:b w:val="false"/>
          <w:i w:val="false"/>
          <w:color w:val="000000"/>
          <w:sz w:val="21"/>
        </w:rPr>
        <w:t xml:space="preserve"> (Notice ARC 6323C, IAB 5/18/22)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8409C</w:t>
      </w:r>
      <w:r>
        <w:rPr>
          <w:rFonts w:ascii="Times New Roman" w:hAnsi="Times New Roman"/>
          <w:b w:val="false"/>
          <w:i w:val="false"/>
          <w:color w:val="000000"/>
          <w:sz w:val="21"/>
        </w:rPr>
        <w:t xml:space="preserve"> (Amended Notice ARC 8191C, IAB 8/7/24; </w:t>
      </w:r>
      <w:r>
        <w:rPr>
          <w:rFonts w:ascii="Times New Roman" w:hAnsi="Times New Roman"/>
          <w:b w:val="false"/>
          <w:i w:val="false"/>
          <w:color w:val="000000"/>
          <w:sz w:val="21"/>
        </w:rPr>
        <w:t>Notice ARC 7371C, IAB 1/24/24)</w:t>
      </w:r>
      <w:r>
        <w:rPr>
          <w:rFonts w:ascii="Times New Roman" w:hAnsi="Times New Roman"/>
          <w:b w:val="false"/>
          <w:i w:val="false"/>
          <w:color w:val="000000"/>
          <w:sz w:val="21"/>
        </w:rPr>
        <w:t>, IAB 11/27/24, effective 1/1/25]</w:t>
      </w:r>
    </w:p>
    <w:p>
      <w:pPr>
        <w:spacing w:before="0" w:after="0"/>
        <w:ind w:left="120"/>
        <w:jc w:val="center"/>
      </w:pPr>
      <w:r>
        <w:rPr>
          <w:rFonts w:ascii="Times New Roman" w:hAnsi="Times New Roman"/>
          <w:b w:val="false"/>
          <w:i w:val="false"/>
          <w:color w:val="000000"/>
          <w:sz w:val="21"/>
        </w:rPr>
        <w:t>[Editorial change: IAC Supplement 6/10/26]</w:t>
      </w:r>
    </w:p>
    <w:sectPr>
      <w:footerReference r:id="rId7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1A.1.pdf" Type="http://schemas.openxmlformats.org/officeDocument/2006/relationships/hyperlink" Id="rId5"/>
    <Relationship TargetMode="External" Target="https://www.legis.iowa.gov/docs/ico/chapter/141A.1.pdf" Type="http://schemas.openxmlformats.org/officeDocument/2006/relationships/hyperlink" Id="rId6"/>
    <Relationship TargetMode="External" Target="https://www.legis.iowa.gov/docs/ico/chapter/915.40.pdf" Type="http://schemas.openxmlformats.org/officeDocument/2006/relationships/hyperlink" Id="rId7"/>
    <Relationship TargetMode="External" Target="https://www.legis.iowa.gov/docs/ico/chapter/139A.2.pdf" Type="http://schemas.openxmlformats.org/officeDocument/2006/relationships/hyperlink" Id="rId8"/>
    <Relationship TargetMode="External" Target="https://www.legis.iowa.gov/docs/ico/chapter/141A.1.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139A.2.pdf" Type="http://schemas.openxmlformats.org/officeDocument/2006/relationships/hyperlink" Id="rId11"/>
    <Relationship TargetMode="External" Target="https://www.legis.iowa.gov/docs/ico/chapter/139A.2.pdf" Type="http://schemas.openxmlformats.org/officeDocument/2006/relationships/hyperlink" Id="rId12"/>
    <Relationship TargetMode="External" Target="https://www.legis.iowa.gov/docs/ico/chapter/141A.1.pdf" Type="http://schemas.openxmlformats.org/officeDocument/2006/relationships/hyperlink" Id="rId13"/>
    <Relationship TargetMode="External" Target="https://www.legis.iowa.gov/docs/ico/chapter/141A.1.pdf" Type="http://schemas.openxmlformats.org/officeDocument/2006/relationships/hyperlink" Id="rId14"/>
    <Relationship TargetMode="External" Target="https://www.legis.iowa.gov/docs/ico/chapter/141A.1.pdf" Type="http://schemas.openxmlformats.org/officeDocument/2006/relationships/hyperlink" Id="rId15"/>
    <Relationship TargetMode="External" Target="https://www.legis.iowa.gov/docs/ico/chapter/141A.1.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ac/rule/641.1.1.pdf" Type="http://schemas.openxmlformats.org/officeDocument/2006/relationships/hyperlink" Id="rId19"/>
    <Relationship TargetMode="External" Target="https://www.legis.iowa.gov/docs/ico/chapter/139A.19.pdf" Type="http://schemas.openxmlformats.org/officeDocument/2006/relationships/hyperlink" Id="rId20"/>
    <Relationship TargetMode="External" Target="https://www.legis.iowa.gov/docs/iac/rule/641.1.1.pdf" Type="http://schemas.openxmlformats.org/officeDocument/2006/relationships/hyperlink" Id="rId21"/>
    <Relationship TargetMode="External" Target="https://www.legis.iowa.gov/docs/ico/chapter/141A.6.pdf" Type="http://schemas.openxmlformats.org/officeDocument/2006/relationships/hyperlink" Id="rId22"/>
    <Relationship TargetMode="External" Target="https://www.legis.iowa.gov/docs/ico/chapter/141A.6.pdf" Type="http://schemas.openxmlformats.org/officeDocument/2006/relationships/hyperlink" Id="rId23"/>
    <Relationship TargetMode="External" Target="https://www.legis.iowa.gov/docs/ico/chapter/139A.35.pdf" Type="http://schemas.openxmlformats.org/officeDocument/2006/relationships/hyperlink" Id="rId24"/>
    <Relationship TargetMode="External" Target="https://www.legis.iowa.gov/docs/ico/chapter/141A.7.pdf" Type="http://schemas.openxmlformats.org/officeDocument/2006/relationships/hyperlink" Id="rId25"/>
    <Relationship TargetMode="External" Target="https://www.legis.iowa.gov/docs/ico/chapter/141A.4.pdf" Type="http://schemas.openxmlformats.org/officeDocument/2006/relationships/hyperlink" Id="rId26"/>
    <Relationship TargetMode="External" Target="https://www.legis.iowa.gov/docs/ico/chapter/141A.4.pdf" Type="http://schemas.openxmlformats.org/officeDocument/2006/relationships/hyperlink" Id="rId27"/>
    <Relationship TargetMode="External" Target="https://www.legis.iowa.gov/docs/ico/chapter/141A.7.pdf" Type="http://schemas.openxmlformats.org/officeDocument/2006/relationships/hyperlink" Id="rId28"/>
    <Relationship TargetMode="External" Target="https://www.legis.iowa.gov/docs/ico/chapter/141A.4.pdf" Type="http://schemas.openxmlformats.org/officeDocument/2006/relationships/hyperlink" Id="rId29"/>
    <Relationship TargetMode="External" Target="https://www.legis.iowa.gov/docs/ico/chapter/141A.7.pdf" Type="http://schemas.openxmlformats.org/officeDocument/2006/relationships/hyperlink" Id="rId30"/>
    <Relationship TargetMode="External" Target="https://www.legis.iowa.gov/docs/ico/chapter/141A.6.pdf" Type="http://schemas.openxmlformats.org/officeDocument/2006/relationships/hyperlink" Id="rId31"/>
    <Relationship TargetMode="External" Target="https://www.legis.iowa.gov/docs/ico/chapter/141A.6.pdf" Type="http://schemas.openxmlformats.org/officeDocument/2006/relationships/hyperlink" Id="rId32"/>
    <Relationship TargetMode="External" Target="https://www.legis.iowa.gov/docs/ico/chapter/141A.6.pdf" Type="http://schemas.openxmlformats.org/officeDocument/2006/relationships/hyperlink" Id="rId33"/>
    <Relationship TargetMode="External" Target="https://www.legis.iowa.gov/docs/iac/rule/641.11.1.pdf" Type="http://schemas.openxmlformats.org/officeDocument/2006/relationships/hyperlink" Id="rId34"/>
    <Relationship TargetMode="External" Target="https://www.legis.iowa.gov/docs/iac/rule/641.11.6.pdf" Type="http://schemas.openxmlformats.org/officeDocument/2006/relationships/hyperlink" Id="rId35"/>
    <Relationship TargetMode="External" Target="https://www.legis.iowa.gov/docs/ico/chapter/139A.35.pdf" Type="http://schemas.openxmlformats.org/officeDocument/2006/relationships/hyperlink" Id="rId36"/>
    <Relationship TargetMode="External" Target="https://www.legis.iowa.gov/docs/ico/chapter/141A.4.pdf" Type="http://schemas.openxmlformats.org/officeDocument/2006/relationships/hyperlink" Id="rId37"/>
    <Relationship TargetMode="External" Target="https://www.legis.iowa.gov/docs/ico/chapter/141A.6.pdf" Type="http://schemas.openxmlformats.org/officeDocument/2006/relationships/hyperlink" Id="rId38"/>
    <Relationship TargetMode="External" Target="https://www.legis.iowa.gov/docs/ico/chapter/141A.7.pdf" Type="http://schemas.openxmlformats.org/officeDocument/2006/relationships/hyperlink" Id="rId39"/>
    <Relationship TargetMode="External" Target="https://www.legis.iowa.gov/docs/ico/chapter/141A.9.pdf" Type="http://schemas.openxmlformats.org/officeDocument/2006/relationships/hyperlink" Id="rId40"/>
    <Relationship TargetMode="External" Target="https://www.legis.iowa.gov/docs/ico/chapter/141A.9.pdf" Type="http://schemas.openxmlformats.org/officeDocument/2006/relationships/hyperlink" Id="rId41"/>
    <Relationship TargetMode="External" Target="https://www.legis.iowa.gov/docs/ico/chapter/141A.9.pdf" Type="http://schemas.openxmlformats.org/officeDocument/2006/relationships/hyperlink" Id="rId42"/>
    <Relationship TargetMode="External" Target="https://www.legis.iowa.gov/docs/ico/chapter/141A.9.pdf" Type="http://schemas.openxmlformats.org/officeDocument/2006/relationships/hyperlink" Id="rId43"/>
    <Relationship TargetMode="External" Target="https://www.legis.iowa.gov/docs/ico/chapter/135.11.pdf" Type="http://schemas.openxmlformats.org/officeDocument/2006/relationships/hyperlink" Id="rId44"/>
    <Relationship TargetMode="External" Target="https://www.legis.iowa.gov/docs/ico/chapter/141A.5.pdf" Type="http://schemas.openxmlformats.org/officeDocument/2006/relationships/hyperlink" Id="rId45"/>
    <Relationship TargetMode="External" Target="https://www.legis.iowa.gov/docs/ico/chapter/139A.33.pdf" Type="http://schemas.openxmlformats.org/officeDocument/2006/relationships/hyperlink" Id="rId46"/>
    <Relationship TargetMode="External" Target="https://www.legis.iowa.gov/docs/iac/rule/641.11.9.pdf" Type="http://schemas.openxmlformats.org/officeDocument/2006/relationships/hyperlink" Id="rId47"/>
    <Relationship TargetMode="External" Target="https://www.legis.iowa.gov/docs/iac/rule/641.11.10.pdf" Type="http://schemas.openxmlformats.org/officeDocument/2006/relationships/hyperlink" Id="rId48"/>
    <Relationship TargetMode="External" Target="https://www.legis.iowa.gov/docs/ico/chapter/139A.33.pdf" Type="http://schemas.openxmlformats.org/officeDocument/2006/relationships/hyperlink" Id="rId49"/>
    <Relationship TargetMode="External" Target="https://www.legis.iowa.gov/docs/ico/chapter/141A.5.pdf" Type="http://schemas.openxmlformats.org/officeDocument/2006/relationships/hyperlink" Id="rId50"/>
    <Relationship TargetMode="External" Target="https://www.legis.iowa.gov/docs/ico/chapter/141A.7.pdf" Type="http://schemas.openxmlformats.org/officeDocument/2006/relationships/hyperlink" Id="rId51"/>
    <Relationship TargetMode="External" Target="https://www.legis.iowa.gov/docs/ico/chapter/139A.19.pdf" Type="http://schemas.openxmlformats.org/officeDocument/2006/relationships/hyperlink" Id="rId52"/>
    <Relationship TargetMode="External" Target="https://www.legis.iowa.gov/docs/ico/chapter/139A.19.pdf" Type="http://schemas.openxmlformats.org/officeDocument/2006/relationships/hyperlink" Id="rId53"/>
    <Relationship TargetMode="External" Target="https://www.legis.iowa.gov/docs/ico/chapter/139A.3.pdf" Type="http://schemas.openxmlformats.org/officeDocument/2006/relationships/hyperlink" Id="rId54"/>
    <Relationship TargetMode="External" Target="https://www.legis.iowa.gov/docs/ico/chapter/141A.6.pdf" Type="http://schemas.openxmlformats.org/officeDocument/2006/relationships/hyperlink" Id="rId55"/>
    <Relationship TargetMode="External" Target="https://www.legis.iowa.gov/docs/ico/chapter/141A.9.pdf" Type="http://schemas.openxmlformats.org/officeDocument/2006/relationships/hyperlink" Id="rId56"/>
    <Relationship TargetMode="External" Target="https://www.legis.iowa.gov/docs/ico/chapter/141A.7.pdf" Type="http://schemas.openxmlformats.org/officeDocument/2006/relationships/hyperlink" Id="rId57"/>
    <Relationship TargetMode="External" Target="https://www.legis.iowa.gov/docs/ico/chapter/139A.3.pdf" Type="http://schemas.openxmlformats.org/officeDocument/2006/relationships/hyperlink" Id="rId58"/>
    <Relationship TargetMode="External" Target="https://www.legis.iowa.gov/docs/ico/chapter/141A.6.pdf" Type="http://schemas.openxmlformats.org/officeDocument/2006/relationships/hyperlink" Id="rId59"/>
    <Relationship TargetMode="External" Target="https://www.legis.iowa.gov/docs/ico/chapter/141A.9.pdf" Type="http://schemas.openxmlformats.org/officeDocument/2006/relationships/hyperlink" Id="rId60"/>
    <Relationship TargetMode="External" Target="https://www.legis.iowa.gov/docs/iac/rule/641.11.11.pdf" Type="http://schemas.openxmlformats.org/officeDocument/2006/relationships/hyperlink" Id="rId61"/>
    <Relationship TargetMode="External" Target="https://www.legis.iowa.gov/docs/iac/rule/641.11.12.pdf" Type="http://schemas.openxmlformats.org/officeDocument/2006/relationships/hyperlink" Id="rId62"/>
    <Relationship TargetMode="External" Target="https://www.legis.iowa.gov/docs/ico/chapter/139A.19.pdf" Type="http://schemas.openxmlformats.org/officeDocument/2006/relationships/hyperlink" Id="rId63"/>
    <Relationship TargetMode="External" Target="https://www.legis.iowa.gov/docs/ico/chapter/915.40-43.pdf" Type="http://schemas.openxmlformats.org/officeDocument/2006/relationships/hyperlink" Id="rId64"/>
    <Relationship TargetMode="External" Target="https://www.legis.iowa.gov/docs/ico/chapter/141A.6.pdf" Type="http://schemas.openxmlformats.org/officeDocument/2006/relationships/hyperlink" Id="rId65"/>
    <Relationship TargetMode="External" Target="https://www.legis.iowa.gov/docs/ico/chapter/141A.6.pdf" Type="http://schemas.openxmlformats.org/officeDocument/2006/relationships/hyperlink" Id="rId66"/>
    <Relationship TargetMode="External" Target="https://www.legis.iowa.gov/docs/ico/chapter/141A.7.pdf" Type="http://schemas.openxmlformats.org/officeDocument/2006/relationships/hyperlink" Id="rId67"/>
    <Relationship TargetMode="External" Target="https://www.legis.iowa.gov/docs/ico/chapter/141A.6.pdf" Type="http://schemas.openxmlformats.org/officeDocument/2006/relationships/hyperlink" Id="rId68"/>
    <Relationship TargetMode="External" Target="https://www.legis.iowa.gov/docs/iac/rule/641.11.9.pdf" Type="http://schemas.openxmlformats.org/officeDocument/2006/relationships/hyperlink" Id="rId69"/>
    <Relationship TargetMode="External" Target="https://www.legis.iowa.gov/docs/ico/chapter/135.11.pdf" Type="http://schemas.openxmlformats.org/officeDocument/2006/relationships/hyperlink" Id="rId70"/>
    <Relationship TargetMode="External" Target="https://www.legis.iowa.gov/docs/ico/chapter/141A.9.pdf" Type="http://schemas.openxmlformats.org/officeDocument/2006/relationships/hyperlink" Id="rId71"/>
    <Relationship TargetMode="External" Target="https://www.legis.iowa.gov/docs/ico/chapter/141A.3.pdf" Type="http://schemas.openxmlformats.org/officeDocument/2006/relationships/hyperlink" Id="rId72"/>
    <Relationship Target="footer.xml" Type="http://schemas.openxmlformats.org/officeDocument/2006/relationships/footer" Id="rId7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