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VITAL RECORDS REGISTRIES AND REPORTS</w:t>
      </w:r>
    </w:p>
    <w:p>
      <w:pPr>
        <w:spacing w:before="0" w:after="0"/>
        <w:ind w:left="120"/>
        <w:jc w:val="center"/>
      </w:pPr>
      <w:r>
        <w:rPr>
          <w:rFonts w:ascii="Times New Roman" w:hAnsi="Times New Roman"/>
          <w:b w:val="false"/>
          <w:i w:val="false"/>
          <w:color w:val="000000"/>
          <w:sz w:val="14"/>
        </w:rPr>
        <w:t>[Prior to 12/12/12, see [641] Chs 105 to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641—100.1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 In addition, the following definitions shall apply solely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“Abortion”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the mutual consent voluntary adoption registry, means an individual who has reached the age of 18 years at the time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form”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“Attempt to perform an abortion”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the declaration of paternity registry, means a person under 18 years of age for whom paternity has not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w:t>
      </w:r>
      <w:r>
        <w:rPr>
          <w:rFonts w:ascii="Times New Roman" w:hAnsi="Times New Roman"/>
          <w:b w:val="false"/>
          <w:i w:val="false"/>
          <w:color w:val="000000"/>
          <w:sz w:val="22"/>
        </w:rPr>
        <w:t> </w:t>
      </w:r>
      <w:r>
        <w:rPr>
          <w:rFonts w:ascii="Times New Roman" w:hAnsi="Times New Roman"/>
          <w:b w:val="false"/>
          <w:i w:val="false"/>
          <w:color w:val="000000"/>
          <w:sz w:val="22"/>
        </w:rPr>
        <w:t>means the juvenile court when used in reference to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“Father”</w:t>
      </w:r>
      <w:r>
        <w:rPr>
          <w:rFonts w:ascii="Times New Roman" w:hAnsi="Times New Roman"/>
          <w:b w:val="false"/>
          <w:i w:val="false"/>
          <w:color w:val="000000"/>
          <w:sz w:val="22"/>
        </w:rPr>
        <w:t> </w:t>
      </w:r>
      <w:r>
        <w:rPr>
          <w:rFonts w:ascii="Times New Roman" w:hAnsi="Times New Roman"/>
          <w:b w:val="false"/>
          <w:i w:val="false"/>
          <w:color w:val="000000"/>
          <w:sz w:val="22"/>
        </w:rPr>
        <w:t>means the male, biological parent of a child when used in reference to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“Fertilization”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“Inducing a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 “Inducing a termination of pregnancy” includes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bodily function”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emergency”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w:t>
      </w:r>
      <w:r>
        <w:rPr>
          <w:rFonts w:ascii="Times New Roman" w:hAnsi="Times New Roman"/>
          <w:b w:val="false"/>
          <w:i w:val="false"/>
          <w:color w:val="000000"/>
          <w:sz w:val="22"/>
        </w:rPr>
        <w:t> </w:t>
      </w:r>
      <w:r>
        <w:rPr>
          <w:rFonts w:ascii="Times New Roman" w:hAnsi="Times New Roman"/>
          <w:b w:val="false"/>
          <w:i/>
          <w:color w:val="000000"/>
          <w:sz w:val="22"/>
        </w:rPr>
        <w:t>“performed,”</w:t>
      </w:r>
      <w:r>
        <w:rPr>
          <w:rFonts w:ascii="Times New Roman" w:hAnsi="Times New Roman"/>
          <w:b w:val="false"/>
          <w:i w:val="false"/>
          <w:color w:val="000000"/>
          <w:sz w:val="22"/>
        </w:rPr>
        <w:t xml:space="preserve"> or </w:t>
      </w:r>
      <w:r>
        <w:rPr>
          <w:rFonts w:ascii="Times New Roman" w:hAnsi="Times New Roman"/>
          <w:b w:val="false"/>
          <w:i/>
          <w:color w:val="000000"/>
          <w:sz w:val="22"/>
        </w:rPr>
        <w:t>“performing”</w:t>
      </w:r>
      <w:r>
        <w:rPr>
          <w:rFonts w:ascii="Times New Roman" w:hAnsi="Times New Roman"/>
          <w:b w:val="false"/>
          <w:i w:val="false"/>
          <w:color w:val="000000"/>
          <w:sz w:val="22"/>
        </w:rPr>
        <w:t xml:space="preserve"> means the same as defined in Iowa Code section </w:t>
      </w:r>
      <w:hyperlink r:id="rId15">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under Iowa Code chapter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“Postfertilization 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“Probable postfertilization 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“Registry”</w:t>
      </w:r>
      <w:r>
        <w:rPr>
          <w:rFonts w:ascii="Times New Roman" w:hAnsi="Times New Roman"/>
          <w:b w:val="false"/>
          <w:i w:val="false"/>
          <w:color w:val="000000"/>
          <w:sz w:val="22"/>
        </w:rPr>
        <w:t> </w:t>
      </w:r>
      <w:r>
        <w:rPr>
          <w:rFonts w:ascii="Times New Roman" w:hAnsi="Times New Roman"/>
          <w:b w:val="false"/>
          <w:i w:val="false"/>
          <w:color w:val="000000"/>
          <w:sz w:val="22"/>
        </w:rPr>
        <w:t>means the declaration of paternity registry 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“Sibling”</w:t>
      </w:r>
      <w:r>
        <w:rPr>
          <w:rFonts w:ascii="Times New Roman" w:hAnsi="Times New Roman"/>
          <w:b w:val="false"/>
          <w:i w:val="false"/>
          <w:color w:val="000000"/>
          <w:sz w:val="22"/>
        </w:rPr>
        <w:t> </w:t>
      </w:r>
      <w:r>
        <w:rPr>
          <w:rFonts w:ascii="Times New Roman" w:hAnsi="Times New Roman"/>
          <w:b w:val="false"/>
          <w:i w:val="false"/>
          <w:color w:val="000000"/>
          <w:sz w:val="22"/>
        </w:rPr>
        <w:t>means one of two or more persons who are born of the same parents or, sometimes, who have at least one parent in common. “Sibling” also means brother or sister when used in reference to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“Spontaneous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“Unborn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146B.1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0147D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641—100.2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will be used in the reporting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0147D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641—100.3</w:t>
      </w:r>
      <w:r>
        <w:rPr>
          <w:rFonts w:ascii="Times New Roman" w:hAnsi="Times New Roman"/>
          <w:b/>
          <w:i w:val="false"/>
          <w:color w:val="000000"/>
          <w:sz w:val="22"/>
        </w:rPr>
        <w:t xml:space="preserve">(144) </w:t>
      </w:r>
      <w:r>
        <w:rPr>
          <w:rFonts w:ascii="Times New Roman" w:hAnsi="Times New Roman"/>
          <w:b/>
          <w:i w:val="false"/>
          <w:color w:val="000000"/>
          <w:sz w:val="22"/>
        </w:rPr>
        <w:t xml:space="preserve">Declaration of paternity registry established. </w:t>
      </w:r>
      <w:r>
        <w:rPr>
          <w:rFonts w:ascii="Times New Roman" w:hAnsi="Times New Roman"/>
          <w:b w:val="false"/>
          <w:i w:val="false"/>
          <w:color w:val="000000"/>
          <w:sz w:val="22"/>
        </w:rPr>
        <w:t xml:space="preserve">Pursuant to Iowa Code section </w:t>
      </w:r>
      <w:hyperlink r:id="rId21">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there is established in the department a registry for the declaration of paternity of a putative father who wishes to register prior to the birth of a child and no later than the date of the filing of the petition for termination of parental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val="false"/>
          <w:color w:val="000000"/>
          <w:sz w:val="22"/>
        </w:rPr>
        <w:t>The putative father who files a Declaration of Paternity Registry form with the state registrar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Registrant’s name, current address, social security number, and notarized signature and date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last-known address, and social security number, if known, of the mother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child, if known, and the date and location of the birth of the child,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val="false"/>
          <w:color w:val="000000"/>
          <w:sz w:val="22"/>
        </w:rPr>
        <w:t>The putative father who files the Declaration of Paternity Registry form shall be responsible to notify the state registrar in writing of any change in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forward a copy of the declaration of paternity to the mother as notification the person has registered, if the mother’s name and address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val="false"/>
          <w:color w:val="000000"/>
          <w:sz w:val="22"/>
        </w:rPr>
        <w:t>There will be no fee required to file the declaration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as established pursuant to rule </w:t>
      </w:r>
      <w:hyperlink r:id="rId2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will be charged and remitted for conducting a search of the registry. The fee will be retained for the 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remittance of the required fee, the department will conduct a search of the registry. Written requests may be submitted by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biological mother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for an action to establish paternity or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attorney of any party to an adoption, termination of parental rights, or establishment of paternity or support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w:t>
      </w:r>
      <w:r>
        <w:rPr>
          <w:rFonts w:ascii="Times New Roman" w:hAnsi="Times New Roman"/>
          <w:b w:val="false"/>
          <w:i w:val="false"/>
          <w:color w:val="000000"/>
          <w:sz w:val="22"/>
        </w:rPr>
        <w:t> </w:t>
      </w:r>
      <w:r>
        <w:rPr>
          <w:rFonts w:ascii="Times New Roman" w:hAnsi="Times New Roman"/>
          <w:b w:val="false"/>
          <w:i w:val="false"/>
          <w:color w:val="000000"/>
          <w:sz w:val="22"/>
        </w:rPr>
        <w:t>If a declaration of paternity is on file, the department will provide the name, address, and social security number of a registrant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biological mother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for an action to establish paternity or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attorney of any party to an adoption, termination of parental rights, or establishment of paternity or support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w:t>
      </w:r>
      <w:r>
        <w:rPr>
          <w:rFonts w:ascii="Times New Roman" w:hAnsi="Times New Roman"/>
          <w:b w:val="false"/>
          <w:i w:val="false"/>
          <w:color w:val="000000"/>
          <w:sz w:val="22"/>
        </w:rPr>
        <w:t> </w:t>
      </w:r>
      <w:r>
        <w:rPr>
          <w:rFonts w:ascii="Times New Roman" w:hAnsi="Times New Roman"/>
          <w:b w:val="false"/>
          <w:i w:val="false"/>
          <w:color w:val="000000"/>
          <w:sz w:val="22"/>
        </w:rPr>
        <w:t>If no declaration of paternity is on file, a written statement to that effect will be provided to the person making the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from the declaration of paternity registry will not be released to any person other than those listed in subrule </w:t>
      </w:r>
      <w:hyperlink r:id="rId23">
        <w:r>
          <w:rPr>
            <w:rStyle w:val="Hyperlink"/>
            <w:rFonts w:ascii="Times New Roman" w:hAnsi="Times New Roman"/>
            <w:b w:val="false"/>
            <w:i w:val="false"/>
            <w:color w:val="000000"/>
            <w:sz w:val="22"/>
          </w:rPr>
          <w:t>100.3(6)</w:t>
        </w:r>
      </w:hyperlink>
      <w:r>
        <w:rPr>
          <w:rFonts w:ascii="Times New Roman" w:hAnsi="Times New Roman"/>
          <w:b w:val="false"/>
          <w:i w:val="false"/>
          <w:color w:val="000000"/>
          <w:sz w:val="22"/>
        </w:rPr>
        <w:t xml:space="preserve"> and will be considered a confidential record as to any other person, except upon order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registry may be revoked by the registrant by the submission of a written statement, signed and acknowledged by the registrant before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shall include a declaration that to the best of the registrant’s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 is not the father of the named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paternity of the true father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Revocation will nullify the registration, and the information provided by the registrant will be expunged.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is effective only following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val="false"/>
          <w:color w:val="000000"/>
          <w:sz w:val="22"/>
        </w:rPr>
        <w:t>The Declaration of Paternity Registry form is available from the state registrar of vital records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declaration of paternity registry does not constitute an affidavit of paternity filed pursuant to Iowa Code section </w:t>
      </w:r>
      <w:hyperlink r:id="rId2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Declarations filed will be maintained in a registry separate and distinct from the affidavit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w:t>
      </w:r>
      <w:r>
        <w:rPr>
          <w:rFonts w:ascii="Times New Roman" w:hAnsi="Times New Roman"/>
          <w:b w:val="false"/>
          <w:i w:val="false"/>
          <w:color w:val="000000"/>
          <w:sz w:val="22"/>
        </w:rPr>
        <w:t> </w:t>
      </w:r>
      <w:r>
        <w:rPr>
          <w:rFonts w:ascii="Times New Roman" w:hAnsi="Times New Roman"/>
          <w:b w:val="false"/>
          <w:i w:val="false"/>
          <w:color w:val="000000"/>
          <w:sz w:val="22"/>
        </w:rPr>
        <w:t>A declaration of paternity filed with the registry may be used as evidence of paternity in an action to establish paternity or to determine a support obligation with respect to the putative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100.3(14)</w:t>
      </w:r>
      <w:r>
        <w:rPr>
          <w:rFonts w:ascii="Times New Roman" w:hAnsi="Times New Roman"/>
          <w:b w:val="false"/>
          <w:i w:val="false"/>
          <w:color w:val="000000"/>
          <w:sz w:val="22"/>
        </w:rPr>
        <w:t> </w:t>
      </w:r>
      <w:r>
        <w:rPr>
          <w:rFonts w:ascii="Times New Roman" w:hAnsi="Times New Roman"/>
          <w:b w:val="false"/>
          <w:i w:val="false"/>
          <w:color w:val="000000"/>
          <w:sz w:val="22"/>
        </w:rPr>
        <w:t>Failure or refusal to file a declaration of paternity shall not be used as evidence to avoid a legally established obligation of financial support for a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0147D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641—100.4</w:t>
      </w:r>
      <w:r>
        <w:rPr>
          <w:rFonts w:ascii="Times New Roman" w:hAnsi="Times New Roman"/>
          <w:b/>
          <w:i w:val="false"/>
          <w:color w:val="000000"/>
          <w:sz w:val="22"/>
        </w:rPr>
        <w:t xml:space="preserve">(144) </w:t>
      </w:r>
      <w:r>
        <w:rPr>
          <w:rFonts w:ascii="Times New Roman" w:hAnsi="Times New Roman"/>
          <w:b/>
          <w:i w:val="false"/>
          <w:color w:val="000000"/>
          <w:sz w:val="22"/>
        </w:rPr>
        <w:t xml:space="preserve">Mutual consent voluntary adoption registry established. </w:t>
      </w:r>
      <w:r>
        <w:rPr>
          <w:rFonts w:ascii="Times New Roman" w:hAnsi="Times New Roman"/>
          <w:b w:val="false"/>
          <w:i w:val="false"/>
          <w:color w:val="000000"/>
          <w:sz w:val="22"/>
        </w:rPr>
        <w:t>There is established in the department a mutual consent voluntary adoption registry. Adult adopted children, adult siblings, and the biological parents of adult adoptees may register with the mutual consent voluntary adoption registry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val="false"/>
          <w:color w:val="000000"/>
          <w:sz w:val="22"/>
        </w:rPr>
        <w:t>All identifying information maintained in the registry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val="false"/>
          <w:color w:val="000000"/>
          <w:sz w:val="22"/>
        </w:rPr>
        <w:t>All requests shall be completed on the Mutual Consent Voluntary Adoption Registry Application form available from the state registrar of vital records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 </w:t>
      </w:r>
      <w:hyperlink r:id="rId2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 fee will be charged and remitted for the filing of a completed application for the registry, and a fee will be charged and remitted for updating applicant information maintained in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reveal the identity of the biological parent to the adult adopted child or reveal the identity of the adult adopted child to the biological parent if the conditions of Iowa Code section </w:t>
      </w:r>
      <w:hyperlink r:id="rId26">
        <w:r>
          <w:rPr>
            <w:rStyle w:val="Hyperlink"/>
            <w:rFonts w:ascii="Times New Roman" w:hAnsi="Times New Roman"/>
            <w:b w:val="false"/>
            <w:i w:val="false"/>
            <w:color w:val="000000"/>
            <w:sz w:val="22"/>
          </w:rPr>
          <w:t>144.43A(2)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reveal the identity of the adult adopted child to an adult sibling or will reveal the identity of an adult sibling to the adult adopted child if the conditions of Iowa Code section </w:t>
      </w:r>
      <w:hyperlink r:id="rId27">
        <w:r>
          <w:rPr>
            <w:rStyle w:val="Hyperlink"/>
            <w:rFonts w:ascii="Times New Roman" w:hAnsi="Times New Roman"/>
            <w:b w:val="false"/>
            <w:i w:val="false"/>
            <w:color w:val="000000"/>
            <w:sz w:val="22"/>
          </w:rPr>
          <w:t>144.43A(4)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100.4(6)</w:t>
      </w:r>
      <w:r>
        <w:rPr>
          <w:rFonts w:ascii="Times New Roman" w:hAnsi="Times New Roman"/>
          <w:b w:val="false"/>
          <w:i w:val="false"/>
          <w:color w:val="000000"/>
          <w:sz w:val="22"/>
        </w:rPr>
        <w:t> </w:t>
      </w:r>
      <w:r>
        <w:rPr>
          <w:rFonts w:ascii="Times New Roman" w:hAnsi="Times New Roman"/>
          <w:b w:val="false"/>
          <w:i w:val="false"/>
          <w:color w:val="000000"/>
          <w:sz w:val="22"/>
        </w:rPr>
        <w:t>A person who has filed a request or provided consent may withdraw the consent at any time prior to the release of any information by submitting a written withdrawal of consent statement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100.4(7)</w:t>
      </w:r>
      <w:r>
        <w:rPr>
          <w:rFonts w:ascii="Times New Roman" w:hAnsi="Times New Roman"/>
          <w:b w:val="false"/>
          <w:i w:val="false"/>
          <w:color w:val="000000"/>
          <w:sz w:val="22"/>
        </w:rPr>
        <w:t> </w:t>
      </w:r>
      <w:r>
        <w:rPr>
          <w:rFonts w:ascii="Times New Roman" w:hAnsi="Times New Roman"/>
          <w:b w:val="false"/>
          <w:i w:val="false"/>
          <w:color w:val="000000"/>
          <w:sz w:val="22"/>
        </w:rPr>
        <w:t>The adult adoptee, adult sibling, and biological parent completing an application shall be responsible for updating the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100.4(8)</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verify the address information and provide written notice to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0147D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641—100.5</w:t>
      </w:r>
      <w:r>
        <w:rPr>
          <w:rFonts w:ascii="Times New Roman" w:hAnsi="Times New Roman"/>
          <w:b/>
          <w:i w:val="false"/>
          <w:color w:val="000000"/>
          <w:sz w:val="22"/>
        </w:rPr>
        <w:t xml:space="preserve">(144) </w:t>
      </w:r>
      <w:r>
        <w:rPr>
          <w:rFonts w:ascii="Times New Roman" w:hAnsi="Times New Roman"/>
          <w:b/>
          <w:i w:val="false"/>
          <w:color w:val="000000"/>
          <w:sz w:val="22"/>
        </w:rPr>
        <w:t xml:space="preserve">Statistical report of termination of pregnancy report. </w:t>
      </w:r>
      <w:r>
        <w:rPr>
          <w:rFonts w:ascii="Times New Roman" w:hAnsi="Times New Roman"/>
          <w:b w:val="false"/>
          <w:i w:val="false"/>
          <w:color w:val="000000"/>
          <w:sz w:val="22"/>
        </w:rPr>
        <w:t>A health care provider who initially identifies and diagnoses a spontaneous termination of pregnancy or who induces a termination of pregnancy shall file with the department a Statistical Report of Termination of Pregnancy form for each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provider shall make a good-faith effort to obtain all the information outlined in Iowa Code section </w:t>
      </w:r>
      <w:hyperlink r:id="rId28">
        <w:r>
          <w:rPr>
            <w:rStyle w:val="Hyperlink"/>
            <w:rFonts w:ascii="Times New Roman" w:hAnsi="Times New Roman"/>
            <w:b w:val="false"/>
            <w:i w:val="false"/>
            <w:color w:val="000000"/>
            <w:sz w:val="22"/>
          </w:rPr>
          <w:t>144.29A(1)</w:t>
        </w:r>
      </w:hyperlink>
      <w:r>
        <w:rPr>
          <w:rFonts w:ascii="Times New Roman" w:hAnsi="Times New Roman"/>
          <w:b w:val="false"/>
          <w:i w:val="false"/>
          <w:color w:val="000000"/>
          <w:sz w:val="22"/>
        </w:rPr>
        <w:t xml:space="preserve"> that is available with respect to each termination, as well as whether the termination was spontaneous or induced.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100.5(2)</w:t>
      </w:r>
      <w:r>
        <w:rPr>
          <w:rFonts w:ascii="Times New Roman" w:hAnsi="Times New Roman"/>
          <w:b w:val="false"/>
          <w:i w:val="false"/>
          <w:color w:val="000000"/>
          <w:sz w:val="22"/>
        </w:rPr>
        <w:t> </w:t>
      </w:r>
      <w:r>
        <w:rPr>
          <w:rFonts w:ascii="Times New Roman" w:hAnsi="Times New Roman"/>
          <w:b w:val="false"/>
          <w:i w:val="false"/>
          <w:color w:val="000000"/>
          <w:sz w:val="22"/>
        </w:rPr>
        <w:t>In addition, a physician who performs or attempts to perform an abortion shall report to the department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determination of probable postfertilization age of the unborn child was made, the probable postfertilization age determined and the method and basis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determination of probable postfertilization age of the unborn child was not made, the basis of the determination that a medical emergency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probable postfertilization age of the unborn child was determined to be 20 or more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of the determination of a medical emergency,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of the determination that the abortion was necessary to preserve the life of an unborn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used for the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an abortion performed when the probable postfertilization age was determined to be 20 or more weeks, whether the method of abortion used was one that, in the physician’s reasonable medical judgment, provided the best opportunity for an unborn child to survive,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a method was not used, the basis of the determination that termination of the human pregnancy in that manner would pose a greater risk than would any other available method of the death of the pregnant woman or of the substantial and irreversible physical impairment of a major bodily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100.5(3)</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who identifies a spontaneous termination or performs an induced termination shall prepare the report on the standard form and forward to the state registrar on or before the tenth day of each calendar month all records for the preceding month. Reports may be sent by mail to the state registrar. Termination reports shall be submitted within 30 days of the date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forms, or the provider may use the master copy of the form provided by the department to make copies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will be collected, reproduced, released, and disclosed in a manner that meets the requirements of Iowa Code section </w:t>
      </w:r>
      <w:hyperlink r:id="rId29">
        <w:r>
          <w:rPr>
            <w:rStyle w:val="Hyperlink"/>
            <w:rFonts w:ascii="Times New Roman" w:hAnsi="Times New Roman"/>
            <w:b w:val="false"/>
            <w:i w:val="false"/>
            <w:color w:val="000000"/>
            <w:sz w:val="22"/>
          </w:rPr>
          <w:t>144.29A(2)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share information with federal public health officials as outlined in Iowa Code section </w:t>
      </w:r>
      <w:hyperlink r:id="rId30">
        <w:r>
          <w:rPr>
            <w:rStyle w:val="Hyperlink"/>
            <w:rFonts w:ascii="Times New Roman" w:hAnsi="Times New Roman"/>
            <w:b w:val="false"/>
            <w:i w:val="false"/>
            <w:color w:val="000000"/>
            <w:sz w:val="22"/>
          </w:rPr>
          <w:t>144.29A(2)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w:t>
      </w:r>
      <w:r>
        <w:rPr>
          <w:rFonts w:ascii="Times New Roman" w:hAnsi="Times New Roman"/>
          <w:b w:val="false"/>
          <w:i w:val="false"/>
          <w:color w:val="000000"/>
          <w:sz w:val="22"/>
        </w:rPr>
        <w:t> </w:t>
      </w:r>
      <w:r>
        <w:rPr>
          <w:rFonts w:ascii="Times New Roman" w:hAnsi="Times New Roman"/>
          <w:b w:val="false"/>
          <w:i w:val="false"/>
          <w:color w:val="000000"/>
          <w:sz w:val="22"/>
        </w:rPr>
        <w:t xml:space="preserve">By June 30, annually, the department will publish a demographic summary of the statistics for the previous calendar year pursuant to Iowa Code section </w:t>
      </w:r>
      <w:hyperlink r:id="rId31">
        <w:r>
          <w:rPr>
            <w:rStyle w:val="Hyperlink"/>
            <w:rFonts w:ascii="Times New Roman" w:hAnsi="Times New Roman"/>
            <w:b w:val="false"/>
            <w:i w:val="false"/>
            <w:color w:val="000000"/>
            <w:sz w:val="22"/>
          </w:rPr>
          <w:t>144.29A(2)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department will establish and use a methodology to provide a statistically verifiable basis for any determination of the aggregate form at which information may be released pursuant to Iowa Code section </w:t>
      </w:r>
      <w:hyperlink r:id="rId32">
        <w:r>
          <w:rPr>
            <w:rStyle w:val="Hyperlink"/>
            <w:rFonts w:ascii="Times New Roman" w:hAnsi="Times New Roman"/>
            <w:b w:val="false"/>
            <w:i w:val="false"/>
            <w:color w:val="000000"/>
            <w:sz w:val="22"/>
          </w:rPr>
          <w:t>144.29A(2)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methodology will consider both the counts of the events for each item of information and the population that could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provider shall assign a report tracking number pursuant to Iowa Code section </w:t>
      </w:r>
      <w:hyperlink r:id="rId33">
        <w:r>
          <w:rPr>
            <w:rStyle w:val="Hyperlink"/>
            <w:rFonts w:ascii="Times New Roman" w:hAnsi="Times New Roman"/>
            <w:b w:val="false"/>
            <w:i w:val="false"/>
            <w:color w:val="000000"/>
            <w:sz w:val="22"/>
          </w:rPr>
          <w:t>144.29A(5)</w:t>
        </w:r>
      </w:hyperlink>
      <w:r>
        <w:rPr>
          <w:rFonts w:ascii="Times New Roman" w:hAnsi="Times New Roman"/>
          <w:b w:val="false"/>
          <w:i w:val="false"/>
          <w:color w:val="000000"/>
          <w:sz w:val="22"/>
        </w:rPr>
        <w:t>. The report tracking number shall be maintained by the provider for a period of six months after the end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100.5(9)</w:t>
      </w:r>
      <w:r>
        <w:rPr>
          <w:rFonts w:ascii="Times New Roman" w:hAnsi="Times New Roman"/>
          <w:b w:val="false"/>
          <w:i w:val="false"/>
          <w:color w:val="000000"/>
          <w:sz w:val="22"/>
        </w:rPr>
        <w:t> </w:t>
      </w:r>
      <w:r>
        <w:rPr>
          <w:rFonts w:ascii="Times New Roman" w:hAnsi="Times New Roman"/>
          <w:b w:val="false"/>
          <w:i w:val="false"/>
          <w:color w:val="000000"/>
          <w:sz w:val="22"/>
        </w:rPr>
        <w:t>For reporting of spontaneous terminations of pregnancy, a health care provider who practices within a hospital, clinic, or other health facility may file the required reporting forms with the department or may authorize one staff person to fulfill the reporting requirements. For reporting of induced terminations of pregnancy, the physician performing the termination shall file the required reporting forms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100.5(10)</w:t>
      </w:r>
      <w:r>
        <w:rPr>
          <w:rFonts w:ascii="Times New Roman" w:hAnsi="Times New Roman"/>
          <w:b w:val="false"/>
          <w:i w:val="false"/>
          <w:color w:val="000000"/>
          <w:sz w:val="22"/>
        </w:rPr>
        <w:t> </w:t>
      </w:r>
      <w:r>
        <w:rPr>
          <w:rFonts w:ascii="Times New Roman" w:hAnsi="Times New Roman"/>
          <w:b w:val="false"/>
          <w:i w:val="false"/>
          <w:color w:val="000000"/>
          <w:sz w:val="22"/>
        </w:rPr>
        <w:t>Reporting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submit a report in accordance with Iowa Code section </w:t>
      </w:r>
      <w:hyperlink r:id="rId34">
        <w:r>
          <w:rPr>
            <w:rStyle w:val="Hyperlink"/>
            <w:rFonts w:ascii="Times New Roman" w:hAnsi="Times New Roman"/>
            <w:b w:val="false"/>
            <w:i w:val="false"/>
            <w:color w:val="000000"/>
            <w:sz w:val="22"/>
          </w:rPr>
          <w:t>146B.2</w:t>
        </w:r>
      </w:hyperlink>
      <w:r>
        <w:rPr>
          <w:rFonts w:ascii="Times New Roman" w:hAnsi="Times New Roman"/>
          <w:b w:val="false"/>
          <w:i w:val="false"/>
          <w:color w:val="000000"/>
          <w:sz w:val="22"/>
        </w:rPr>
        <w:t xml:space="preserve"> and these rules by the end of 30 days following the due date shall be subject to a late fee of $500 for each additional 30-day period or portion of a 30-day period the report is overdue. The fee will be collected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required to report in accordance with Iowa Code section </w:t>
      </w:r>
      <w:hyperlink r:id="rId35">
        <w:r>
          <w:rPr>
            <w:rStyle w:val="Hyperlink"/>
            <w:rFonts w:ascii="Times New Roman" w:hAnsi="Times New Roman"/>
            <w:b w:val="false"/>
            <w:i w:val="false"/>
            <w:color w:val="000000"/>
            <w:sz w:val="22"/>
          </w:rPr>
          <w:t>146B.2</w:t>
        </w:r>
      </w:hyperlink>
      <w:r>
        <w:rPr>
          <w:rFonts w:ascii="Times New Roman" w:hAnsi="Times New Roman"/>
          <w:b w:val="false"/>
          <w:i w:val="false"/>
          <w:color w:val="000000"/>
          <w:sz w:val="22"/>
        </w:rPr>
        <w:t xml:space="preserve"> who has not submitted a report or who has submitted only an incomplete report more than one year following the due date may, in an action brought by the board of medicine in the manner in which actions are brought to enforce Iowa Code chapter </w:t>
      </w:r>
      <w:hyperlink r:id="rId3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be directed by a court of competent jurisdiction to submit a complete report within a time period stated by court order or be subject to contempt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intentionally or recklessly falsifies a report required under Iowa Code section </w:t>
      </w:r>
      <w:hyperlink r:id="rId37">
        <w:r>
          <w:rPr>
            <w:rStyle w:val="Hyperlink"/>
            <w:rFonts w:ascii="Times New Roman" w:hAnsi="Times New Roman"/>
            <w:b w:val="false"/>
            <w:i w:val="false"/>
            <w:color w:val="000000"/>
            <w:sz w:val="22"/>
          </w:rPr>
          <w:t>146B.2</w:t>
        </w:r>
      </w:hyperlink>
      <w:r>
        <w:rPr>
          <w:rFonts w:ascii="Times New Roman" w:hAnsi="Times New Roman"/>
          <w:b w:val="false"/>
          <w:i w:val="false"/>
          <w:color w:val="000000"/>
          <w:sz w:val="22"/>
        </w:rPr>
        <w:t xml:space="preserve"> is subject to a civil penalty of $100. The civil penalty will be collected by the department pursuant to Iowa Code chapter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knowingly violates a provision of these rules is guilty of a serious misdemeanor pursuant to Iowa Code section </w:t>
      </w:r>
      <w:hyperlink r:id="rId39">
        <w:r>
          <w:rPr>
            <w:rStyle w:val="Hyperlink"/>
            <w:rFonts w:ascii="Times New Roman" w:hAnsi="Times New Roman"/>
            <w:b w:val="false"/>
            <w:i w:val="false"/>
            <w:color w:val="000000"/>
            <w:sz w:val="22"/>
          </w:rPr>
          <w:t>144.52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0147D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144.43A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144.52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146B.2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3394C</w:t>
      </w:r>
      <w:r>
        <w:rPr>
          <w:rFonts w:ascii="Times New Roman" w:hAnsi="Times New Roman"/>
          <w:b w:val="false"/>
          <w:i w:val="false"/>
          <w:color w:val="000000"/>
          <w:sz w:val="21"/>
        </w:rPr>
        <w:t xml:space="preserve"> (Notice ARC 3211C,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0147D</w:t>
      </w:r>
      <w:r>
        <w:rPr>
          <w:rFonts w:ascii="Times New Roman" w:hAnsi="Times New Roman"/>
          <w:b w:val="false"/>
          <w:i w:val="false"/>
          <w:color w:val="000000"/>
          <w:sz w:val="21"/>
        </w:rPr>
        <w:t xml:space="preserve"> (Notice ARC 9943C,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100 and the adoption of new Chapter 100 [ARC 0483C] delayed until adjournment of the 2013 General Assembly by the Administrative Rules Review Committee at its meeting held January 8, 2013; delay lifted at the meeting held March 8, 2013.</w:t>
      </w:r>
    </w:p>
    <w:sectPr>
      <w:footerReference r:id="rId4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46B.1.pdf" Type="http://schemas.openxmlformats.org/officeDocument/2006/relationships/hyperlink" Id="rId6"/>
    <Relationship TargetMode="External" Target="https://www.legis.iowa.gov/docs/ico/chapter/144.29A.pdf" Type="http://schemas.openxmlformats.org/officeDocument/2006/relationships/hyperlink" Id="rId7"/>
    <Relationship TargetMode="External" Target="https://www.legis.iowa.gov/docs/ico/chapter/146B.1.pdf" Type="http://schemas.openxmlformats.org/officeDocument/2006/relationships/hyperlink" Id="rId8"/>
    <Relationship TargetMode="External" Target="https://www.legis.iowa.gov/docs/ico/chapter/146B.1.pdf" Type="http://schemas.openxmlformats.org/officeDocument/2006/relationships/hyperlink" Id="rId9"/>
    <Relationship TargetMode="External" Target="https://www.legis.iowa.gov/docs/ico/chapter/144.29A.pdf" Type="http://schemas.openxmlformats.org/officeDocument/2006/relationships/hyperlink" Id="rId10"/>
    <Relationship TargetMode="External" Target="https://www.legis.iowa.gov/docs/ico/chapter/144.29A.pdf" Type="http://schemas.openxmlformats.org/officeDocument/2006/relationships/hyperlink" Id="rId11"/>
    <Relationship TargetMode="External" Target="https://www.legis.iowa.gov/docs/ico/chapter/146B.1.pdf" Type="http://schemas.openxmlformats.org/officeDocument/2006/relationships/hyperlink" Id="rId12"/>
    <Relationship TargetMode="External" Target="https://www.legis.iowa.gov/docs/ico/chapter/146B.1.pdf" Type="http://schemas.openxmlformats.org/officeDocument/2006/relationships/hyperlink" Id="rId13"/>
    <Relationship TargetMode="External" Target="https://www.legis.iowa.gov/docs/ico/chapter/146B.1.pdf" Type="http://schemas.openxmlformats.org/officeDocument/2006/relationships/hyperlink" Id="rId14"/>
    <Relationship TargetMode="External" Target="https://www.legis.iowa.gov/docs/ico/chapter/146B.1.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46B.1.pdf" Type="http://schemas.openxmlformats.org/officeDocument/2006/relationships/hyperlink" Id="rId17"/>
    <Relationship TargetMode="External" Target="https://www.legis.iowa.gov/docs/ico/chapter/146B.1.pdf" Type="http://schemas.openxmlformats.org/officeDocument/2006/relationships/hyperlink" Id="rId18"/>
    <Relationship TargetMode="External" Target="https://www.legis.iowa.gov/docs/ico/chapter/144.29A.pdf" Type="http://schemas.openxmlformats.org/officeDocument/2006/relationships/hyperlink" Id="rId19"/>
    <Relationship TargetMode="External" Target="https://www.legis.iowa.gov/docs/ico/chapter/146B.1.pdf" Type="http://schemas.openxmlformats.org/officeDocument/2006/relationships/hyperlink" Id="rId20"/>
    <Relationship TargetMode="External" Target="https://www.legis.iowa.gov/docs/ico/chapter/144.12A.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ac/rule/641.100.3.pdf" Type="http://schemas.openxmlformats.org/officeDocument/2006/relationships/hyperlink" Id="rId23"/>
    <Relationship TargetMode="External" Target="https://www.legis.iowa.gov/docs/ico/chapter/252A.3A.pdf" Type="http://schemas.openxmlformats.org/officeDocument/2006/relationships/hyperlink" Id="rId24"/>
    <Relationship TargetMode="External" Target="https://www.legis.iowa.gov/docs/iac/rule/641.95.6.pdf" Type="http://schemas.openxmlformats.org/officeDocument/2006/relationships/hyperlink" Id="rId25"/>
    <Relationship TargetMode="External" Target="https://www.legis.iowa.gov/docs/ico/chapter/144.43A.pdf" Type="http://schemas.openxmlformats.org/officeDocument/2006/relationships/hyperlink" Id="rId26"/>
    <Relationship TargetMode="External" Target="https://www.legis.iowa.gov/docs/ico/chapter/144.43A.pdf" Type="http://schemas.openxmlformats.org/officeDocument/2006/relationships/hyperlink" Id="rId27"/>
    <Relationship TargetMode="External" Target="https://www.legis.iowa.gov/docs/ico/chapter/144.29A.pdf" Type="http://schemas.openxmlformats.org/officeDocument/2006/relationships/hyperlink" Id="rId28"/>
    <Relationship TargetMode="External" Target="https://www.legis.iowa.gov/docs/ico/chapter/144.29A.pdf" Type="http://schemas.openxmlformats.org/officeDocument/2006/relationships/hyperlink" Id="rId29"/>
    <Relationship TargetMode="External" Target="https://www.legis.iowa.gov/docs/ico/chapter/144.29A.pdf" Type="http://schemas.openxmlformats.org/officeDocument/2006/relationships/hyperlink" Id="rId30"/>
    <Relationship TargetMode="External" Target="https://www.legis.iowa.gov/docs/ico/chapter/144.29A.pdf" Type="http://schemas.openxmlformats.org/officeDocument/2006/relationships/hyperlink" Id="rId31"/>
    <Relationship TargetMode="External" Target="https://www.legis.iowa.gov/docs/ico/chapter/144.29A.pdf" Type="http://schemas.openxmlformats.org/officeDocument/2006/relationships/hyperlink" Id="rId32"/>
    <Relationship TargetMode="External" Target="https://www.legis.iowa.gov/docs/ico/chapter/144.29A.pdf" Type="http://schemas.openxmlformats.org/officeDocument/2006/relationships/hyperlink" Id="rId33"/>
    <Relationship TargetMode="External" Target="https://www.legis.iowa.gov/docs/ico/chapter/146B.2.pdf" Type="http://schemas.openxmlformats.org/officeDocument/2006/relationships/hyperlink" Id="rId34"/>
    <Relationship TargetMode="External" Target="https://www.legis.iowa.gov/docs/ico/chapter/146B.2.pdf" Type="http://schemas.openxmlformats.org/officeDocument/2006/relationships/hyperlink" Id="rId35"/>
    <Relationship TargetMode="External" Target="https://www.legis.iowa.gov/docs/ico/chapter/148.pdf" Type="http://schemas.openxmlformats.org/officeDocument/2006/relationships/hyperlink" Id="rId36"/>
    <Relationship TargetMode="External" Target="https://www.legis.iowa.gov/docs/ico/chapter/146B.2.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44.52.pdf" Type="http://schemas.openxmlformats.org/officeDocument/2006/relationships/hyperlink" Id="rId39"/>
    <Relationship TargetMode="External" Target="https://www.legis.iowa.gov/docs/ico/chapter/144.29A.pdf" Type="http://schemas.openxmlformats.org/officeDocument/2006/relationships/hyperlink" Id="rId40"/>
    <Relationship TargetMode="External" Target="https://www.legis.iowa.gov/docs/ico/chapter/144.43A.pdf" Type="http://schemas.openxmlformats.org/officeDocument/2006/relationships/hyperlink" Id="rId41"/>
    <Relationship TargetMode="External" Target="https://www.legis.iowa.gov/docs/ico/chapter/144.52.pdf" Type="http://schemas.openxmlformats.org/officeDocument/2006/relationships/hyperlink" Id="rId42"/>
    <Relationship TargetMode="External" Target="https://www.legis.iowa.gov/docs/ico/chapter/146B.2.pdf" Type="http://schemas.openxmlformats.org/officeDocument/2006/relationships/hyperlink" Id="rId43"/>
    <Relationship TargetMode="External" Target="https://www.legis.iowa.gov/docs/ico/chapter/252A.3A.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