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ELECTIONS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621—5.1</w:t>
      </w:r>
      <w:r>
        <w:rPr>
          <w:rFonts w:ascii="Times New Roman" w:hAnsi="Times New Roman"/>
          <w:b/>
          <w:i w:val="false"/>
          <w:color w:val="000000"/>
          <w:sz w:val="22"/>
        </w:rPr>
        <w:t xml:space="preserve">(20) </w:t>
      </w:r>
      <w:r>
        <w:rPr>
          <w:rFonts w:ascii="Times New Roman" w:hAnsi="Times New Roman"/>
          <w:b/>
          <w:i w:val="false"/>
          <w:color w:val="000000"/>
          <w:sz w:val="22"/>
        </w:rPr>
        <w:t xml:space="preserve">General procedures. </w:t>
      </w:r>
      <w:r>
        <w:rPr>
          <w:rFonts w:ascii="Times New Roman" w:hAnsi="Times New Roman"/>
          <w:b w:val="false"/>
          <w:i w:val="false"/>
          <w:color w:val="000000"/>
          <w:sz w:val="22"/>
        </w:rPr>
        <w:t xml:space="preserve">The agency shall determine the date of the election or election period, and the place, method, and other procedural aspects of conducting an election held pursuant to Iowa Code chapter </w:t>
      </w:r>
      <w:hyperlink r:id="rId5">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Elections shall be conducted under the direction and supervision of the agency or its election agent and shall be by secret ballot. Parties shall electronically file all documents in the applicable adjudicatory case file in the agency’s electronic document management system (EDMS) unless the rules specify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color w:val="000000"/>
          <w:sz w:val="22"/>
        </w:rPr>
        <w:t xml:space="preserve">Election types. </w:t>
      </w:r>
      <w:r>
        <w:rPr>
          <w:rFonts w:ascii="Times New Roman" w:hAnsi="Times New Roman"/>
          <w:b w:val="false"/>
          <w:i w:val="false"/>
          <w:color w:val="000000"/>
          <w:sz w:val="22"/>
        </w:rPr>
        <w:t>There are five types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Certification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Retention and recertification election. Specific rules addressing retention and recertification elections are contained in 621—Chapter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Decertification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and nonprofessional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Amendment of unit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color w:val="000000"/>
          <w:sz w:val="22"/>
        </w:rPr>
        <w:t xml:space="preserve">Election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certification and decertification elections, the employee organization is responsible for and shall prepay the election fees in accordance with this chapter and rules relevant to the specific election. Employee organizations intervening in a certification election shall pay a proportionate share of the election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employee organization may file a written request with the agency for an extension of time in which to pay its election fees. The employee organization may file the request after the filing of a certification or decertification petition, but no later than seven days after the agency’s filing of an order directing an election. In no event will the agency conduct an election prior to an employee organization’s payment of election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employee organization may file notice of nonpayment to indicate that it will not pay the election fees for a decertification election. The notice of nonpayment may be filed at any time, but must be filed no later than seven days after the agency’s filing of an order for a decertification election. The notice shall be signed by an authorized representative of the organization, state that the organization will not pay the election fees, and acknowledge that the agency will not conduct the applicable election and the employee organization’s certification will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certification and decertification elections, the applicable election fee is based upon the list provided pursuant to </w:t>
      </w:r>
      <w:hyperlink r:id="rId6">
        <w:r>
          <w:rPr>
            <w:rStyle w:val="Hyperlink"/>
            <w:rFonts w:ascii="Times New Roman" w:hAnsi="Times New Roman"/>
            <w:b w:val="false"/>
            <w:i w:val="false"/>
            <w:color w:val="000000"/>
            <w:sz w:val="22"/>
          </w:rPr>
          <w:t>621—subrule 4.3(3)</w:t>
        </w:r>
      </w:hyperlink>
      <w:r>
        <w:rPr>
          <w:rFonts w:ascii="Times New Roman" w:hAnsi="Times New Roman"/>
          <w:b w:val="false"/>
          <w:i w:val="false"/>
          <w:color w:val="000000"/>
          <w:sz w:val="22"/>
        </w:rPr>
        <w:t xml:space="preserve"> to verify the showing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list contains ten or fewer eligible voters, the election fee is $20. When the list contains more than ten eligible voters, the election fee is $2 per eligible voter. When the number of eligible voters on the list for determining fees increases or decreases as contemplated by subparagraph  </w:t>
      </w:r>
      <w:hyperlink r:id="rId7">
        <w:r>
          <w:rPr>
            <w:rStyle w:val="Hyperlink"/>
            <w:rFonts w:ascii="Times New Roman" w:hAnsi="Times New Roman"/>
            <w:b w:val="false"/>
            <w:i w:val="false"/>
            <w:color w:val="000000"/>
            <w:sz w:val="22"/>
          </w:rPr>
          <w:t>5.2(2)</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due to successful challenges pursuant to </w:t>
      </w:r>
      <w:hyperlink r:id="rId8">
        <w:r>
          <w:rPr>
            <w:rStyle w:val="Hyperlink"/>
            <w:rFonts w:ascii="Times New Roman" w:hAnsi="Times New Roman"/>
            <w:b w:val="false"/>
            <w:i w:val="false"/>
            <w:color w:val="000000"/>
            <w:sz w:val="22"/>
          </w:rPr>
          <w:t>subrule 5.2(3)</w:t>
        </w:r>
      </w:hyperlink>
      <w:r>
        <w:rPr>
          <w:rFonts w:ascii="Times New Roman" w:hAnsi="Times New Roman"/>
          <w:b w:val="false"/>
          <w:i w:val="false"/>
          <w:color w:val="000000"/>
          <w:sz w:val="22"/>
        </w:rPr>
        <w:t xml:space="preserve"> and the increases or decreases alter the number of eligible voters by ten or more, the employee organization shall make an additional payment to reflect the increased number of eligible voters or, in the case of a decrease, the agency shall reimburse the employee organization for its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 will not refund the election fee in the event the election fee is paid and the agency has performed duties to conduct the election but the election does not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color w:val="000000"/>
          <w:sz w:val="22"/>
        </w:rPr>
        <w:t xml:space="preserve">Date of election. </w:t>
      </w:r>
      <w:r>
        <w:rPr>
          <w:rFonts w:ascii="Times New Roman" w:hAnsi="Times New Roman"/>
          <w:b w:val="false"/>
          <w:i w:val="false"/>
          <w:color w:val="000000"/>
          <w:sz w:val="22"/>
        </w:rPr>
        <w:t>For purposes of this chapter, the date of an election shall be the date on which the ballots were tallied.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w:t>
      </w:r>
      <w:r>
        <w:rPr>
          <w:rFonts w:ascii="Times New Roman" w:hAnsi="Times New Roman"/>
          <w:b w:val="false"/>
          <w:i w:val="false"/>
          <w:color w:val="000000"/>
          <w:sz w:val="22"/>
        </w:rPr>
        <w:t> </w:t>
      </w:r>
      <w:r>
        <w:rPr>
          <w:rFonts w:ascii="Times New Roman" w:hAnsi="Times New Roman"/>
          <w:b w:val="false"/>
          <w:i/>
          <w:color w:val="000000"/>
          <w:sz w:val="22"/>
        </w:rPr>
        <w:t xml:space="preserve">Election period. </w:t>
      </w:r>
      <w:r>
        <w:rPr>
          <w:rFonts w:ascii="Times New Roman" w:hAnsi="Times New Roman"/>
          <w:b w:val="false"/>
          <w:i w:val="false"/>
          <w:color w:val="000000"/>
          <w:sz w:val="22"/>
        </w:rPr>
        <w:t>For purposes of this chapter, an election period begins at the time and on the date the agency sets for when eligible voters may first cast a ballot and ends at the time and on the date the agency sets for the tally of ballots.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4458C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621—5.2</w:t>
      </w:r>
      <w:r>
        <w:rPr>
          <w:rFonts w:ascii="Times New Roman" w:hAnsi="Times New Roman"/>
          <w:b/>
          <w:i w:val="false"/>
          <w:color w:val="000000"/>
          <w:sz w:val="22"/>
        </w:rPr>
        <w:t xml:space="preserve">(20) </w:t>
      </w:r>
      <w:r>
        <w:rPr>
          <w:rFonts w:ascii="Times New Roman" w:hAnsi="Times New Roman"/>
          <w:b/>
          <w:i w:val="false"/>
          <w:color w:val="000000"/>
          <w:sz w:val="22"/>
        </w:rPr>
        <w:t xml:space="preserve">Eligibility—voter eligibility lists.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color w:val="000000"/>
          <w:sz w:val="22"/>
        </w:rPr>
        <w:t xml:space="preserve">Eligible voters. </w:t>
      </w:r>
      <w:r>
        <w:rPr>
          <w:rFonts w:ascii="Times New Roman" w:hAnsi="Times New Roman"/>
          <w:b w:val="false"/>
          <w:i w:val="false"/>
          <w:color w:val="000000"/>
          <w:sz w:val="22"/>
        </w:rPr>
        <w:t>For certification, decertification, professional/nonprofessional, or amendment of unit elections, eligible voters are those employees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Were employed and included in the bargaining unit on the date of the order directing an election unless another date is agreed upon by the parties and the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employed in the bargaining unit on the date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color w:val="000000"/>
          <w:sz w:val="22"/>
        </w:rPr>
        <w:t xml:space="preserve">Certification, decertification, professional/nonprofessional, and amendment of unit elections—eligible voter 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List for determining fees. The agency will determine the election fee based on the initial employer-provided list of employees used to verify the showing of interest pursuant to </w:t>
      </w:r>
      <w:hyperlink r:id="rId9">
        <w:r>
          <w:rPr>
            <w:rStyle w:val="Hyperlink"/>
            <w:rFonts w:ascii="Times New Roman" w:hAnsi="Times New Roman"/>
            <w:b w:val="false"/>
            <w:i w:val="false"/>
            <w:color w:val="000000"/>
            <w:sz w:val="22"/>
          </w:rPr>
          <w:t>621—subrule 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Voter eligibility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agency files an order that an election be conducted, the employer shall, within seven days of the notice or order, email to the agency an alphabetical list of the names; addresses; email addresses, if known; telephone numbers, if known; and job classifications of the employees eligible to vote. When a telephonic/web-based election is ordered, the list of eligible voters shall also include the employee’s date of birth, the last four digits of the employee’s social security number and any other information required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 shall file the list of eligible voters’ names and job classifications. This list shall become the official voting list for the election to be conducted. The agency shall provide to the employee organization the voter list containing the employees’ contact information. The employer or employee organization shall email proposed additions or deletions of employees’ names, changes in job classifications, addresses, contact information, or other eligible voter changes to the agency and to the other party. The parties may further amend the list by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w:t>
      </w:r>
      <w:r>
        <w:rPr>
          <w:rFonts w:ascii="Times New Roman" w:hAnsi="Times New Roman"/>
          <w:b w:val="false"/>
          <w:i w:val="false"/>
          <w:color w:val="000000"/>
          <w:sz w:val="22"/>
        </w:rPr>
        <w:t> </w:t>
      </w:r>
      <w:r>
        <w:rPr>
          <w:rFonts w:ascii="Times New Roman" w:hAnsi="Times New Roman"/>
          <w:b w:val="false"/>
          <w:i/>
          <w:color w:val="000000"/>
          <w:sz w:val="22"/>
        </w:rPr>
        <w:t xml:space="preserve">Challenges.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Voter eligibility challenge. </w:t>
      </w:r>
      <w:r>
        <w:rPr>
          <w:rFonts w:ascii="Times New Roman" w:hAnsi="Times New Roman"/>
          <w:b w:val="false"/>
          <w:i w:val="false"/>
          <w:color w:val="000000"/>
          <w:sz w:val="22"/>
        </w:rPr>
        <w:t>A party may challenge, for good cause, the eligibility of any voter. The agency shall attempt to resolve the challenge. Whenever challenged ballots are unresolved and determinative of the outcome of an election, a hearing to determine the eligibility of the challenged voter(s) shall be scheduled and conducted. After the conclusion of the hearing, the board may, if necessary, order a new election, and the cost may be taxed to the nonprevailing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Methods and timing of voter eligibility challenges. </w:t>
      </w:r>
      <w:r>
        <w:rPr>
          <w:rFonts w:ascii="Times New Roman" w:hAnsi="Times New Roman"/>
          <w:b w:val="false"/>
          <w:i w:val="false"/>
          <w:color w:val="000000"/>
          <w:sz w:val="22"/>
        </w:rPr>
        <w:t>A party may challenge the eligibility of a voter by electronically filing a completed voter eligibility form in the case file and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In-person elections. A party shall challenge a voter’s eligibility prior to the time the voter deposits the voter’s ballot in the ballot box. In the event of a challenge, the challenged voter may mark the ballot in secret, and the election agent shall segregate the ballot by causing it to be placed in a challenged-ballot envelope with appropriate markings and depositing it in the ballot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Mail-ballot elections. A party shall challenge a voter’s eligibility prior to the time the outer envelope containing the voter’s secret envelope and ballot is opened. In the event of a challenge, both the secret envelope and the outer envelope shall remain sealed until the challenge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Telephonic/web-based elections. A party shall challenge a voter’s eligibility prior to the end of the election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4458C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621—5.3</w:t>
      </w:r>
      <w:r>
        <w:rPr>
          <w:rFonts w:ascii="Times New Roman" w:hAnsi="Times New Roman"/>
          <w:b/>
          <w:i w:val="false"/>
          <w:color w:val="000000"/>
          <w:sz w:val="22"/>
        </w:rPr>
        <w:t xml:space="preserve">(20) </w:t>
      </w:r>
      <w:r>
        <w:rPr>
          <w:rFonts w:ascii="Times New Roman" w:hAnsi="Times New Roman"/>
          <w:b/>
          <w:i w:val="false"/>
          <w:color w:val="000000"/>
          <w:sz w:val="22"/>
        </w:rPr>
        <w:t xml:space="preserve">Methods of voting—general procedures. </w:t>
      </w:r>
      <w:r>
        <w:rPr>
          <w:rFonts w:ascii="Times New Roman" w:hAnsi="Times New Roman"/>
          <w:b w:val="false"/>
          <w:i w:val="false"/>
          <w:color w:val="000000"/>
          <w:sz w:val="22"/>
        </w:rPr>
        <w:t>The agency may conduct an election, in whole or in part, in person, by mail ballot, or through a telephonic/web-based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In-person election. </w:t>
      </w:r>
      <w:r>
        <w:rPr>
          <w:rFonts w:ascii="Times New Roman" w:hAnsi="Times New Roman"/>
          <w:b w:val="false"/>
          <w:i w:val="false"/>
          <w:color w:val="000000"/>
          <w:sz w:val="22"/>
        </w:rPr>
        <w:t>An eligible voter shall cast the voter’s ballot by marking the voter’s choice on the ballot and depositing it in the ballot box or inserting it in a voting machine, whichever is applicable. If a voter inadvertently spoils a ballot, the ballot may be returned to the agent who shall void and retain it and provide another ballot to the voter. Eligible voters may be asked to cast their votes via a nondocument ballot when there is a voting machine present that accommodates this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Absentee ballot.</w:t>
      </w:r>
      <w:r>
        <w:rPr>
          <w:rFonts w:ascii="Times New Roman" w:hAnsi="Times New Roman"/>
          <w:b w:val="false"/>
          <w:i w:val="false"/>
          <w:color w:val="000000"/>
          <w:sz w:val="22"/>
        </w:rPr>
        <w:t xml:space="preserve"> An absentee ballot shall be delivered to an eligible voter upon the voter’s written notice to the agency of the voter’s inability to be present at the election. The marked absentee ballot shall be in the possession of the election agent prior to the close of the in-person election in order to be counted. The marked absentee ballot shall be contained in the secret envelope provided to the voter, and the postage-paid, return-addressed outer envelope provided for the return of the ballot to the agency shall be signed by the voter in order for the ballot to be counted.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Observers. </w:t>
      </w:r>
      <w:r>
        <w:rPr>
          <w:rFonts w:ascii="Times New Roman" w:hAnsi="Times New Roman"/>
          <w:b w:val="false"/>
          <w:i w:val="false"/>
          <w:color w:val="000000"/>
          <w:sz w:val="22"/>
        </w:rPr>
        <w:t>Each party to an election may designate an equal number of representatives to act as the party’s observers during the election and tally of ballots. Unless agreed to by the parties, observers shall not be supervisory employees of the public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Ballot box. </w:t>
      </w:r>
      <w:r>
        <w:rPr>
          <w:rFonts w:ascii="Times New Roman" w:hAnsi="Times New Roman"/>
          <w:b w:val="false"/>
          <w:i w:val="false"/>
          <w:color w:val="000000"/>
          <w:sz w:val="22"/>
        </w:rPr>
        <w:t>Upon examination by the observers and prior to the opening of the polls, the election agent shall seal the ballot box so that entry thereto is limited to one slot. In the event that the election is continued for more than one polling period or at more than one polling place, the ballot box shall be sealed in its entirety and shall remain in the custody of the election agent until immediately prior to the next polling period or the counting of the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Voting machines. </w:t>
      </w:r>
      <w:r>
        <w:rPr>
          <w:rFonts w:ascii="Times New Roman" w:hAnsi="Times New Roman"/>
          <w:b w:val="false"/>
          <w:i w:val="false"/>
          <w:color w:val="000000"/>
          <w:sz w:val="22"/>
        </w:rPr>
        <w:t>The agency may utilize voting machines to assist with the casting or tabulation of votes.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Tally. </w:t>
      </w:r>
      <w:r>
        <w:rPr>
          <w:rFonts w:ascii="Times New Roman" w:hAnsi="Times New Roman"/>
          <w:b w:val="false"/>
          <w:i w:val="false"/>
          <w:color w:val="000000"/>
          <w:sz w:val="22"/>
        </w:rPr>
        <w:t>The agency shall tally the ballots by manual count or electronic count and file the tally after the close of the election. Void ballots are those which do not indicate a preference or the clear intent of the voter or which appear to identify the voter. The employer shall promptly distribute, electronically or by hard copy, copies of the tally of ballots to the affected employees. The employer shall also promptly post copies of the tally of ballots in the manner and locations customarily used for the posting of information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Mail-ballot election. </w:t>
      </w:r>
      <w:r>
        <w:rPr>
          <w:rFonts w:ascii="Times New Roman" w:hAnsi="Times New Roman"/>
          <w:b w:val="false"/>
          <w:i w:val="false"/>
          <w:color w:val="000000"/>
          <w:sz w:val="22"/>
        </w:rPr>
        <w:t>When conducting a mail-ballot election, the agency shall send an official voting package to each eligible voter by ordinary mail and direct a date by which voted ballots must be received by the agency in order to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of official voting packages. </w:t>
      </w:r>
      <w:r>
        <w:rPr>
          <w:rFonts w:ascii="Times New Roman" w:hAnsi="Times New Roman"/>
          <w:b w:val="false"/>
          <w:i w:val="false"/>
          <w:color w:val="000000"/>
          <w:sz w:val="22"/>
        </w:rPr>
        <w:t>Voting packages sent to eligible voters shall consist of voting instructions, a ballot, a secret envelope in which the marked ballot is to be inserted, and a postage-paid, return-addressed outer envelope which identifies the voter for purposes of proposing challenges to the voter’s eligibility. In the event of a challenge, both envelopes shall remain sealed until such time as the challenge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Tally of ballots—observers. </w:t>
      </w:r>
      <w:r>
        <w:rPr>
          <w:rFonts w:ascii="Times New Roman" w:hAnsi="Times New Roman"/>
          <w:b w:val="false"/>
          <w:i w:val="false"/>
          <w:color w:val="000000"/>
          <w:sz w:val="22"/>
        </w:rPr>
        <w:t>The agency shall set a time and place for the tally of ballots, at which time observers designated by the parties to the election shall be entitled to be present. The voter’s outer envelope shall be opened, and the secret envelope containing the voter’s ballot shall be commingled with the other secret envelopes. The agency shall tally the ballots and file the tally after the close of the election. Void ballots are those which do not indicate a preference or the clear intent of the voter, which appear to identify the voter, which are not enclosed in the secret envelope provided to the voter, or which are returned in an outer envelope which does not bear the voter’s signature. The employer shall promptly distribute, electronically or by hard copy, copies of the tally of ballots to the affected employees. The employer shall also promptly post copies of the tally of ballots in the manner and locations customarily used for the posting of information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Telephonic/web-based election. </w:t>
      </w:r>
      <w:r>
        <w:rPr>
          <w:rFonts w:ascii="Times New Roman" w:hAnsi="Times New Roman"/>
          <w:b w:val="false"/>
          <w:i w:val="false"/>
          <w:color w:val="000000"/>
          <w:sz w:val="22"/>
        </w:rPr>
        <w:t>The agency may utilize an election services vendor for the receipt of telephonic and web-based ballots and for the tabulation of those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election. </w:t>
      </w:r>
      <w:r>
        <w:rPr>
          <w:rFonts w:ascii="Times New Roman" w:hAnsi="Times New Roman"/>
          <w:b w:val="false"/>
          <w:i w:val="false"/>
          <w:color w:val="000000"/>
          <w:sz w:val="22"/>
        </w:rPr>
        <w:t>When conducting a telephonic/web-based election, whether in whole or in part, the agency shall include in the notice of election the telephone number the voter is to call to cast a ballot, the website address for web-based voting and a sample ballot or 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Tally. </w:t>
      </w:r>
      <w:r>
        <w:rPr>
          <w:rFonts w:ascii="Times New Roman" w:hAnsi="Times New Roman"/>
          <w:b w:val="false"/>
          <w:i w:val="false"/>
          <w:color w:val="000000"/>
          <w:sz w:val="22"/>
        </w:rPr>
        <w:t>Following the close of the election period and the agency’s receipt of the ballot tabulation from the election services vendor, the agency shall tally the ballots and file the tally. Void or blank ballots are those which do not indicate a preference or clear choice by the voter in favor of one of the voting options presented by the ballot. The employer shall promptly distribute, electronically or by hard copy, copies of the tally of ballots to the affected employees. The employer shall also promptly post copies of the tally of ballots in the manner and locations customarily used for the posting of information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Inoperable voting system. </w:t>
      </w:r>
      <w:r>
        <w:rPr>
          <w:rFonts w:ascii="Times New Roman" w:hAnsi="Times New Roman"/>
          <w:b w:val="false"/>
          <w:i w:val="false"/>
          <w:color w:val="000000"/>
          <w:sz w:val="22"/>
        </w:rPr>
        <w:t>The board may extend the period of the election due to inoperable voting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color w:val="000000"/>
          <w:sz w:val="22"/>
        </w:rPr>
        <w:t xml:space="preserve">Alternate voting method. </w:t>
      </w:r>
      <w:r>
        <w:rPr>
          <w:rFonts w:ascii="Times New Roman" w:hAnsi="Times New Roman"/>
          <w:b w:val="false"/>
          <w:i w:val="false"/>
          <w:color w:val="000000"/>
          <w:sz w:val="22"/>
        </w:rPr>
        <w:t>When a voter promptly informs the agency of the voter’s inability to cast a ballot using the designated methods of voting, the agency shall assist the voter in using an alternate method to cast a secret ballot.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621—5.4</w:t>
      </w:r>
      <w:r>
        <w:rPr>
          <w:rFonts w:ascii="Times New Roman" w:hAnsi="Times New Roman"/>
          <w:b/>
          <w:i w:val="false"/>
          <w:color w:val="000000"/>
          <w:sz w:val="22"/>
        </w:rPr>
        <w:t xml:space="preserve">(20) </w:t>
      </w:r>
      <w:r>
        <w:rPr>
          <w:rFonts w:ascii="Times New Roman" w:hAnsi="Times New Roman"/>
          <w:b/>
          <w:i w:val="false"/>
          <w:color w:val="000000"/>
          <w:sz w:val="22"/>
        </w:rPr>
        <w:t xml:space="preserve">Objections to an 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Written objections to an election may be filed by any public employee, public employer, or employee organization involved in the election or by the board on its own motion. Objections must be filed with the agency within ten days of the filing of the tally of ballots, even when challenges to eligible voters may be determinative of the outcome of the election. The objection must identify the objecting party; provide the objecting party’s mailing address, telephone number, and email address, if available; and contain a statement of facts upon which the objections are based. The agency shall promptly advise the parties of the objections and make any investigation deemed appropriate. If the objections cannot be informally resolved, they may be dismissed or resolved at hearing. Hearings on objections shall be conducted pursuant to 621—</w:t>
      </w:r>
      <w:hyperlink r:id="rId10">
        <w:r>
          <w:rPr>
            <w:rStyle w:val="Hyperlink"/>
            <w:rFonts w:ascii="Times New Roman" w:hAnsi="Times New Roman"/>
            <w:b w:val="false"/>
            <w:i w:val="false"/>
            <w:color w:val="000000"/>
            <w:sz w:val="22"/>
          </w:rPr>
          <w:t>Chapter 2</w:t>
        </w:r>
      </w:hyperlink>
      <w:r>
        <w:rPr>
          <w:rFonts w:ascii="Times New Roman" w:hAnsi="Times New Roman"/>
          <w:b w:val="false"/>
          <w:i w:val="false"/>
          <w:color w:val="000000"/>
          <w:sz w:val="22"/>
        </w:rPr>
        <w:t>. The objecting party shall present its evidence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color w:val="000000"/>
          <w:sz w:val="22"/>
        </w:rPr>
        <w:t xml:space="preserve">Objectionable conduct during election campaigns. </w:t>
      </w:r>
      <w:r>
        <w:rPr>
          <w:rFonts w:ascii="Times New Roman" w:hAnsi="Times New Roman"/>
          <w:b w:val="false"/>
          <w:i w:val="false"/>
          <w:color w:val="000000"/>
          <w:sz w:val="22"/>
        </w:rPr>
        <w:t>The following types of activity, if conducted during the period beginning with the filing of an election petition with the agency or the agency’s filing of a notice of intent to conduct a retention and recertification election and ending at the conclusion of the election, if determined by the agency that such activity could have affected the results of the election, shall be considered to be objectionable conduct sufficient to invalidate the results of an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Electioneering within 300 feet or within sound of the polling place established by the agency during the conduct of an in-person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Misstatements of material facts by any party to the election or its representative without sufficient time for the adversely affected party to adequately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misuse of agency documents, including an indication that the agency endorses any particular choice appearing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Campaign speeches by an employer to assembled groups of employees during working hours within the period beginning 24 hours before the opening of the polls in an in-person election, the mailing of ballots in a mail-ballot election, or the commencement of the telephonic/web-based election period and extending until the close of the in-person polls, the deadline for the agency’s receipt of mail ballots, or the close of the election period in a telephonic/web-based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polling of employees by a public employer which relates to the employees’ preference for or against a bargaining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Commission of a prohibited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misconduct or other circumstance which prevents employees from freely expressing their preferences in the 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621—5.5</w:t>
      </w:r>
      <w:r>
        <w:rPr>
          <w:rFonts w:ascii="Times New Roman" w:hAnsi="Times New Roman"/>
          <w:b/>
          <w:i w:val="false"/>
          <w:color w:val="000000"/>
          <w:sz w:val="22"/>
        </w:rPr>
        <w:t xml:space="preserve">(20) </w:t>
      </w:r>
      <w:r>
        <w:rPr>
          <w:rFonts w:ascii="Times New Roman" w:hAnsi="Times New Roman"/>
          <w:b/>
          <w:i w:val="false"/>
          <w:color w:val="000000"/>
          <w:sz w:val="22"/>
        </w:rPr>
        <w:t xml:space="preserve">Certification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procedures. </w:t>
      </w:r>
      <w:r>
        <w:rPr>
          <w:rFonts w:ascii="Times New Roman" w:hAnsi="Times New Roman"/>
          <w:b w:val="false"/>
          <w:i w:val="false"/>
          <w:color w:val="000000"/>
          <w:sz w:val="22"/>
        </w:rPr>
        <w:t>Upon the agency’s determination that a certification petition is supported by an adequate showing of interest in accordance with rule 621—4.3(20), the agency shall file an order directing that an election be conducted in a specified manner and that the employer email a list of eligible voters to the agency pursuant to rule 621—5.2(20).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color w:val="000000"/>
          <w:sz w:val="22"/>
        </w:rPr>
        <w:t xml:space="preserve">Payment of election fee. </w:t>
      </w:r>
      <w:r>
        <w:rPr>
          <w:rFonts w:ascii="Times New Roman" w:hAnsi="Times New Roman"/>
          <w:b w:val="false"/>
          <w:i w:val="false"/>
          <w:color w:val="000000"/>
          <w:sz w:val="22"/>
        </w:rPr>
        <w:t>The election fee shall be based on the initial employee list provided by the employer to verify the showing of interest pursuant to 621—subrule 4.3(3). Upon the filing of a certification petition, but no later than seven days after the agency’s filing of an order directing an election, an employee organization shall pay the applicable election fee to the agency, unless an extension of time, upon written request, is granted by the agency. The agency will not conduct an election prior to receiving the applicable election fee from the petitioner. An employee organization’s failure to pay the applicable election fee in a timely manner will result in the agency’s dismissal of the certification petition. The election fee shall be paid by check payable to the agency and is deemed paid upon receipt by the agency or, if submitted by mail, on the date of the U.S. Postal Service postmark affixed to the envelope in which the payment was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w:t>
      </w:r>
      <w:r>
        <w:rPr>
          <w:rFonts w:ascii="Times New Roman" w:hAnsi="Times New Roman"/>
          <w:b w:val="false"/>
          <w:i w:val="false"/>
          <w:color w:val="000000"/>
          <w:sz w:val="22"/>
        </w:rPr>
        <w:t> </w:t>
      </w:r>
      <w:r>
        <w:rPr>
          <w:rFonts w:ascii="Times New Roman" w:hAnsi="Times New Roman"/>
          <w:b w:val="false"/>
          <w:i/>
          <w:color w:val="000000"/>
          <w:sz w:val="22"/>
        </w:rPr>
        <w:t xml:space="preserve">Notice of election. </w:t>
      </w:r>
      <w:r>
        <w:rPr>
          <w:rFonts w:ascii="Times New Roman" w:hAnsi="Times New Roman"/>
          <w:b w:val="false"/>
          <w:i w:val="false"/>
          <w:color w:val="000000"/>
          <w:sz w:val="22"/>
        </w:rPr>
        <w:t>Following the employer’s submission of the list of eligible voters, the employee organization’s payment of the applicable election fee and the expiration of the time for intervention as provided in subrule 5.5(4), the agency shall file a notice of election containing a sample ballot or script and setting forth the date, time, place, method, and purpose of the election and such additional information as the agency may deem appropriate. The employer shall distribute, electronically or by hard copy, the notice to the affected employees. The employer shall also promptly post the notice in the manner and locations customarily used for the posting of information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employee organization other than the petitioner shall be placed on the ballot unless application for intervention, as provided in rule 621—2.4(20), is filed with the agency within seven days after the filing of the agency’s order directing the election in which intervention is sought. An employee organization seeking intervention shall submit to the agency, by ordinary mail or personal delivery, an adequate showing of interest as provided in 621—subrule 4.3(2) within seven days after the agency’s direction of an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intervening employee organization shall pay the applicable election fee to the agency within seven days after the agency’s grant of its application to intervene. The election fee shall be paid by check payable to the agency and is deemed paid upon receipt by the agency or, if submitted by mail, on the date of the U.S. Postal Service postmark affixed to the envelope in which the payment was mailed. Failure to pay the applicable election fee in a timely manner will result in the intervenor’s exclusion from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intervening employee organization may, upon its filing of a written request, be removed from the ballot with the approval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color w:val="000000"/>
          <w:sz w:val="22"/>
        </w:rPr>
        <w:t xml:space="preserve">Ballots. </w:t>
      </w:r>
      <w:r>
        <w:rPr>
          <w:rFonts w:ascii="Times New Roman" w:hAnsi="Times New Roman"/>
          <w:b w:val="false"/>
          <w:i w:val="false"/>
          <w:color w:val="000000"/>
          <w:sz w:val="22"/>
        </w:rPr>
        <w:t>The question in an election where only one employee organization appears on the ballot shall ask, “Do you wish to be represented for purposes of collective bargaining by [name of employee organization]?” followed by the choices “Yes” or “No.” The question in an election where more than one employee organization appears on the ballot shall ask: “Do you wish to be represented for purposes of collective bargaining by:” and shall then list horizontally or vertically thereafter the choices available, including the name of each employee organization and the choice of “Neither” or “No Representative,” as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results and compliance with Iowa Code section </w:t>
      </w:r>
      <w:hyperlink r:id="rId11">
        <w:r>
          <w:rPr>
            <w:rStyle w:val="Hyperlink"/>
            <w:rFonts w:ascii="Times New Roman" w:hAnsi="Times New Roman"/>
            <w:b w:val="false"/>
            <w:i/>
            <w:color w:val="000000"/>
            <w:sz w:val="22"/>
          </w:rPr>
          <w:t>20.25</w:t>
        </w:r>
      </w:hyperlink>
      <w:r>
        <w:rPr>
          <w:rFonts w:ascii="Times New Roman" w:hAnsi="Times New Roman"/>
          <w:b w:val="false"/>
          <w:i/>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a valid certification election in which an employee organization received the votes of a majority of the employees in the bargaining unit and the employee organization complies with the provisions of Iowa Code section </w:t>
      </w:r>
      <w:hyperlink r:id="rId12">
        <w:r>
          <w:rPr>
            <w:rStyle w:val="Hyperlink"/>
            <w:rFonts w:ascii="Times New Roman" w:hAnsi="Times New Roman"/>
            <w:b w:val="false"/>
            <w:i w:val="false"/>
            <w:color w:val="000000"/>
            <w:sz w:val="22"/>
          </w:rPr>
          <w:t>20.25</w:t>
        </w:r>
      </w:hyperlink>
      <w:r>
        <w:rPr>
          <w:rFonts w:ascii="Times New Roman" w:hAnsi="Times New Roman"/>
          <w:b w:val="false"/>
          <w:i w:val="false"/>
          <w:color w:val="000000"/>
          <w:sz w:val="22"/>
        </w:rPr>
        <w:t>, the agency shall file an order certifying that employee organization as the exclusive bargaining representative of the employees in the bargaining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completion of a valid certification election in which none of the employee organizations on the ballot received the votes of a majority of the employees in the bargaining unit, the agency shall file an order of noncertification.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employee organization which received the votes of a majority of the employees in the bargaining unit fails to comply with the provisions of Iowa Code section </w:t>
      </w:r>
      <w:hyperlink r:id="rId13">
        <w:r>
          <w:rPr>
            <w:rStyle w:val="Hyperlink"/>
            <w:rFonts w:ascii="Times New Roman" w:hAnsi="Times New Roman"/>
            <w:b w:val="false"/>
            <w:i w:val="false"/>
            <w:color w:val="000000"/>
            <w:sz w:val="22"/>
          </w:rPr>
          <w:t>20.25</w:t>
        </w:r>
      </w:hyperlink>
      <w:r>
        <w:rPr>
          <w:rFonts w:ascii="Times New Roman" w:hAnsi="Times New Roman"/>
          <w:b w:val="false"/>
          <w:i w:val="false"/>
          <w:color w:val="000000"/>
          <w:sz w:val="22"/>
        </w:rPr>
        <w:t xml:space="preserve"> within 90 days of the completion of a valid certification election, the agency shall file an order of noncertification; provided, however, that extensions of time to comply may be granted by the board upon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w:t>
      </w:r>
      <w:r>
        <w:rPr>
          <w:rFonts w:ascii="Times New Roman" w:hAnsi="Times New Roman"/>
          <w:b w:val="false"/>
          <w:i w:val="false"/>
          <w:color w:val="000000"/>
          <w:sz w:val="22"/>
        </w:rPr>
        <w:t> </w:t>
      </w:r>
      <w:r>
        <w:rPr>
          <w:rFonts w:ascii="Times New Roman" w:hAnsi="Times New Roman"/>
          <w:b w:val="false"/>
          <w:i/>
          <w:color w:val="000000"/>
          <w:sz w:val="22"/>
        </w:rPr>
        <w:t xml:space="preserve">Bars to certification elections.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shall not consider a petition for certification of an employee organization as the exclusive representative of a bargaining unit unless a period of two years has elapsed from the date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last certification election in which an employee organization was not certified as the exclusive representative of that bargaining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last retention and recertification election in which an employee organization was not retained and recertified as the exclusive representative of that bargaining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last decertification election in which an employee organization was decertified as the exclusive representative of that bargaining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shall not consider a petition for certification of an employee organization as the exclusive bargaining representative of a bargaining unit if the bargaining unit is already represented by a certified bargaining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621—5.6</w:t>
      </w:r>
      <w:r>
        <w:rPr>
          <w:rFonts w:ascii="Times New Roman" w:hAnsi="Times New Roman"/>
          <w:b/>
          <w:i w:val="false"/>
          <w:color w:val="000000"/>
          <w:sz w:val="22"/>
        </w:rPr>
        <w:t xml:space="preserve">(20) </w:t>
      </w:r>
      <w:r>
        <w:rPr>
          <w:rFonts w:ascii="Times New Roman" w:hAnsi="Times New Roman"/>
          <w:b/>
          <w:i w:val="false"/>
          <w:color w:val="000000"/>
          <w:sz w:val="22"/>
        </w:rPr>
        <w:t xml:space="preserve">Decertification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Eligible voter list. </w:t>
      </w:r>
      <w:r>
        <w:rPr>
          <w:rFonts w:ascii="Times New Roman" w:hAnsi="Times New Roman"/>
          <w:b w:val="false"/>
          <w:i w:val="false"/>
          <w:color w:val="000000"/>
          <w:sz w:val="22"/>
        </w:rPr>
        <w:t xml:space="preserve">Upon the agency’s determination that a decertification petition is supported by an adequate showing of interest in accordance with rule </w:t>
      </w:r>
      <w:hyperlink r:id="rId14">
        <w:r>
          <w:rPr>
            <w:rStyle w:val="Hyperlink"/>
            <w:rFonts w:ascii="Times New Roman" w:hAnsi="Times New Roman"/>
            <w:b w:val="false"/>
            <w:i w:val="false"/>
            <w:color w:val="000000"/>
            <w:sz w:val="22"/>
          </w:rPr>
          <w:t>621—4.3</w:t>
        </w:r>
      </w:hyperlink>
      <w:r>
        <w:rPr>
          <w:rFonts w:ascii="Times New Roman" w:hAnsi="Times New Roman"/>
          <w:b w:val="false"/>
          <w:i w:val="false"/>
          <w:color w:val="000000"/>
          <w:sz w:val="22"/>
        </w:rPr>
        <w:t xml:space="preserve">(20), the agency shall file an order directing that an election be conducted in a specified manner not less than 150 days before the expiration date of the bargaining unit’s collective bargaining agreement and that the employer submit a list of eligible voters pursuant to rule </w:t>
      </w:r>
      <w:hyperlink r:id="rId15">
        <w:r>
          <w:rPr>
            <w:rStyle w:val="Hyperlink"/>
            <w:rFonts w:ascii="Times New Roman" w:hAnsi="Times New Roman"/>
            <w:b w:val="false"/>
            <w:i w:val="false"/>
            <w:color w:val="000000"/>
            <w:sz w:val="22"/>
          </w:rPr>
          <w:t>621—5.2</w:t>
        </w:r>
      </w:hyperlink>
      <w:r>
        <w:rPr>
          <w:rFonts w:ascii="Times New Roman" w:hAnsi="Times New Roman"/>
          <w:b w:val="false"/>
          <w:i w:val="false"/>
          <w:color w:val="000000"/>
          <w:sz w:val="22"/>
        </w:rPr>
        <w:t>(20), unless the election is barred by subrule 5.6(6). The agency may, at the agency’s discretion, dismiss a decertification petition if the agency determines that an election cannot be conducted at least 150 days before the expiration date of the bargaining unit’s collective bargaining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Payment of election fee. </w:t>
      </w:r>
      <w:r>
        <w:rPr>
          <w:rFonts w:ascii="Times New Roman" w:hAnsi="Times New Roman"/>
          <w:b w:val="false"/>
          <w:i w:val="false"/>
          <w:color w:val="000000"/>
          <w:sz w:val="22"/>
        </w:rPr>
        <w:t xml:space="preserve">The election fee shall be based on the initial employee list provided by the employer to verify the showing of interest pursuant to </w:t>
      </w:r>
      <w:hyperlink r:id="rId16">
        <w:r>
          <w:rPr>
            <w:rStyle w:val="Hyperlink"/>
            <w:rFonts w:ascii="Times New Roman" w:hAnsi="Times New Roman"/>
            <w:b w:val="false"/>
            <w:i w:val="false"/>
            <w:color w:val="000000"/>
            <w:sz w:val="22"/>
          </w:rPr>
          <w:t>621—subrule 4.3(3)</w:t>
        </w:r>
      </w:hyperlink>
      <w:r>
        <w:rPr>
          <w:rFonts w:ascii="Times New Roman" w:hAnsi="Times New Roman"/>
          <w:b w:val="false"/>
          <w:i w:val="false"/>
          <w:color w:val="000000"/>
          <w:sz w:val="22"/>
        </w:rPr>
        <w:t>. After the filing of a decertification petition, but no later than seven days after the agency’s filing of an order directing an election, the certified employee organization shall pay the applicable election fee to the agency, unless the organization’s written request for an extension of time to pay the fee for good cause is granted by the agency. The election fee shall be paid by check payable to the agency and is deemed paid upon receipt by the agency or, if submitted by mail, on the date of the U.S. Postal Service postmark affixed to the envelope in which the payment was mailed. The agency will not conduct an election prior to receiving the applicable election fee. A certified employee organization’s failure to pay the applicable election fee in a timely manner shall result in the revocation of the employee organization’s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color w:val="000000"/>
          <w:sz w:val="22"/>
        </w:rPr>
        <w:t xml:space="preserve">Notice of election. </w:t>
      </w:r>
      <w:r>
        <w:rPr>
          <w:rFonts w:ascii="Times New Roman" w:hAnsi="Times New Roman"/>
          <w:b w:val="false"/>
          <w:i w:val="false"/>
          <w:color w:val="000000"/>
          <w:sz w:val="22"/>
        </w:rPr>
        <w:t>Following the employer’s submission of the list of eligible voters and the employee organization’s payment of the applicable election fee, the agency shall file a notice of election containing a sample ballot or script and setting forth the date, time, place, method, and purpose of the election, and such additional information as the agency may deem appropriate. The employer shall promptly distribute, electronically or by hard copy, the notice to the affected employees. The employer shall also promptly post the notice in the manner and locations customarily used for the posting of information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w:t>
      </w:r>
      <w:r>
        <w:rPr>
          <w:rFonts w:ascii="Times New Roman" w:hAnsi="Times New Roman"/>
          <w:b w:val="false"/>
          <w:i w:val="false"/>
          <w:color w:val="000000"/>
          <w:sz w:val="22"/>
        </w:rPr>
        <w:t> </w:t>
      </w:r>
      <w:r>
        <w:rPr>
          <w:rFonts w:ascii="Times New Roman" w:hAnsi="Times New Roman"/>
          <w:b w:val="false"/>
          <w:i/>
          <w:color w:val="000000"/>
          <w:sz w:val="22"/>
        </w:rPr>
        <w:t xml:space="preserve">Ballots. </w:t>
      </w:r>
      <w:r>
        <w:rPr>
          <w:rFonts w:ascii="Times New Roman" w:hAnsi="Times New Roman"/>
          <w:b w:val="false"/>
          <w:i w:val="false"/>
          <w:color w:val="000000"/>
          <w:sz w:val="22"/>
        </w:rPr>
        <w:t>Ballots shall contain the question “Do you want [name of certified employee organization] to be decertified by the Public Employment Relations Board and cease to be your exclusive bargaining representative?” followed by the choices “Yes, I no longer wish to be represented by [name of certified employee organization]” or “No, I want to continue to be represented by [name of certified employee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results.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completion of a valid decertification election in which a majority of the employees in the bargaining unit voted to decertify the employee organization, the agency shall file an order decertifying the employee organization as the exclusive bargaining representative of the employees in the bargaining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completion of a valid decertification election in which a majority of the employees in the bargaining unit did not vote to decertify the employee organization, the agency shall file an order continuing the certification of the employee organization as the exclusive bargaining representative of the employees in the bargaining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w:t>
      </w:r>
      <w:r>
        <w:rPr>
          <w:rFonts w:ascii="Times New Roman" w:hAnsi="Times New Roman"/>
          <w:b w:val="false"/>
          <w:i w:val="false"/>
          <w:color w:val="000000"/>
          <w:sz w:val="22"/>
        </w:rPr>
        <w:t> </w:t>
      </w:r>
      <w:r>
        <w:rPr>
          <w:rFonts w:ascii="Times New Roman" w:hAnsi="Times New Roman"/>
          <w:b w:val="false"/>
          <w:i/>
          <w:color w:val="000000"/>
          <w:sz w:val="22"/>
        </w:rPr>
        <w:t xml:space="preserve">Bars to decertification election.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shall not consider a petition for decertification of an employee organization unless the collective bargaining agreement exceeds two years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shall not consider a decertification petition during pendency of a retention and recertification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agency shall not schedule a decertification election within one year of a prior certification, retention and recertification, or decertification election involving the bargaining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4458C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621—5.7</w:t>
      </w:r>
      <w:r>
        <w:rPr>
          <w:rFonts w:ascii="Times New Roman" w:hAnsi="Times New Roman"/>
          <w:b/>
          <w:i w:val="false"/>
          <w:color w:val="000000"/>
          <w:sz w:val="22"/>
        </w:rPr>
        <w:t xml:space="preserve">(20) </w:t>
      </w:r>
      <w:r>
        <w:rPr>
          <w:rFonts w:ascii="Times New Roman" w:hAnsi="Times New Roman"/>
          <w:b/>
          <w:i w:val="false"/>
          <w:color w:val="000000"/>
          <w:sz w:val="22"/>
        </w:rPr>
        <w:t xml:space="preserve">Professional and nonprofessional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 </w:t>
      </w:r>
      <w:r>
        <w:rPr>
          <w:rFonts w:ascii="Times New Roman" w:hAnsi="Times New Roman"/>
          <w:b w:val="false"/>
          <w:i w:val="false"/>
          <w:color w:val="000000"/>
          <w:sz w:val="22"/>
        </w:rPr>
        <w:t xml:space="preserve">Should the agency determine, in any case, that professional and nonprofessional employees are appropriately included in the same bargaining unit, the agency shall file an order directing that an election be conducted to determine whether those professional and nonprofessional employees agree to be represented in a single bargaining unit and that the employer email separate lists of eligible professional and nonprofessional voters pursuant to </w:t>
      </w:r>
      <w:hyperlink r:id="rId17">
        <w:r>
          <w:rPr>
            <w:rStyle w:val="Hyperlink"/>
            <w:rFonts w:ascii="Times New Roman" w:hAnsi="Times New Roman"/>
            <w:b w:val="false"/>
            <w:i w:val="false"/>
            <w:color w:val="000000"/>
            <w:sz w:val="22"/>
          </w:rPr>
          <w:t>rule 621</w:t>
        </w:r>
      </w:hyperlink>
      <w:r>
        <w:rPr>
          <w:rFonts w:ascii="Times New Roman" w:hAnsi="Times New Roman"/>
          <w:b w:val="false"/>
          <w:i w:val="false"/>
          <w:color w:val="000000"/>
          <w:sz w:val="22"/>
        </w:rPr>
        <w:t>—</w:t>
      </w:r>
      <w:hyperlink r:id="rId18">
        <w:r>
          <w:rPr>
            <w:rStyle w:val="Hyperlink"/>
            <w:rFonts w:ascii="Times New Roman" w:hAnsi="Times New Roman"/>
            <w:b w:val="false"/>
            <w:i w:val="false"/>
            <w:color w:val="000000"/>
            <w:sz w:val="22"/>
          </w:rPr>
          <w:t>5.2(20)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color w:val="000000"/>
          <w:sz w:val="22"/>
        </w:rPr>
        <w:t xml:space="preserve">Voter eligibility 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employer shall email the lists of employees in the professional and nonprofessional categories to the agency within seven days of the agency’s order. The lists shall be organized alphabetically and contain the names; addresses; email addresses, if known; telephone numbers, if known; and job classifications of the employees eligible to vote; and any other information required by the agency. The agency shall file the lists of eligible voters’ names and job classifications. These lists shall become the official voting lists for the election to be conducted. The agency shall provide to the employee organization the voter lists with the employees’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or employee organization shall email proposed additions or deletions of employees’ names, changes in job classifications, addresses, contact information, or other eligible voter changes to the agency and other party. The parties may amend the lists by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color w:val="000000"/>
          <w:sz w:val="22"/>
        </w:rPr>
        <w:t xml:space="preserve">Notice of election. </w:t>
      </w:r>
      <w:r>
        <w:rPr>
          <w:rFonts w:ascii="Times New Roman" w:hAnsi="Times New Roman"/>
          <w:b w:val="false"/>
          <w:i w:val="false"/>
          <w:color w:val="000000"/>
          <w:sz w:val="22"/>
        </w:rPr>
        <w:t>Following the employer’s submission of the lists of eligible voters, the agency shall file a notice of election containing a sample ballot or script for each category of employee and setting forth the date, time, place, method, and purpose of the election, and such additional information as the agency may deem appropriate. The employer shall promptly distribute, electronically or by hard copy, the notice to the affected employees. The employer shall also promptly post the notice in the manner and locations customarily used for the posting of information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w:t>
      </w:r>
      <w:r>
        <w:rPr>
          <w:rFonts w:ascii="Times New Roman" w:hAnsi="Times New Roman"/>
          <w:b w:val="false"/>
          <w:i w:val="false"/>
          <w:color w:val="000000"/>
          <w:sz w:val="22"/>
        </w:rPr>
        <w:t> </w:t>
      </w:r>
      <w:r>
        <w:rPr>
          <w:rFonts w:ascii="Times New Roman" w:hAnsi="Times New Roman"/>
          <w:b w:val="false"/>
          <w:i/>
          <w:color w:val="000000"/>
          <w:sz w:val="22"/>
        </w:rPr>
        <w:t xml:space="preserve">Election fee. </w:t>
      </w:r>
      <w:r>
        <w:rPr>
          <w:rFonts w:ascii="Times New Roman" w:hAnsi="Times New Roman"/>
          <w:b w:val="false"/>
          <w:i w:val="false"/>
          <w:color w:val="000000"/>
          <w:sz w:val="22"/>
        </w:rPr>
        <w:t>No election fee is assessed for an election held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w:t>
      </w:r>
      <w:r>
        <w:rPr>
          <w:rFonts w:ascii="Times New Roman" w:hAnsi="Times New Roman"/>
          <w:b w:val="false"/>
          <w:i w:val="false"/>
          <w:color w:val="000000"/>
          <w:sz w:val="22"/>
        </w:rPr>
        <w:t> </w:t>
      </w:r>
      <w:r>
        <w:rPr>
          <w:rFonts w:ascii="Times New Roman" w:hAnsi="Times New Roman"/>
          <w:b w:val="false"/>
          <w:i/>
          <w:color w:val="000000"/>
          <w:sz w:val="22"/>
        </w:rPr>
        <w:t xml:space="preserve">Ballots. </w:t>
      </w:r>
      <w:r>
        <w:rPr>
          <w:rFonts w:ascii="Times New Roman" w:hAnsi="Times New Roman"/>
          <w:b w:val="false"/>
          <w:i w:val="false"/>
          <w:color w:val="000000"/>
          <w:sz w:val="22"/>
        </w:rPr>
        <w:t>Ballots shall contain the following question, “Do you agree to the inclusion of professional and nonprofessional employees in the same bargaining unit?” followed by the choices “Yes” or “No.”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results.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completion of a valid professional/nonprofessional election in which separate majorities of employees voting in both the professional and nonprofessional categories voted in favor of their inclusion in the same bargaining unit, the agency shall define a bargaining unit which includes both professional and nonprofessional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completion of a valid professional/nonprofessional election in which separate majorities of employees voting in one or both of the professional and nonprofessional categories did not vote in favor of employees’ inclusion in the same bargaining unit, the agency shall not define a bargaining unit which includes both professional and nonprofessional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4458C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621—5.8</w:t>
      </w:r>
      <w:r>
        <w:rPr>
          <w:rFonts w:ascii="Times New Roman" w:hAnsi="Times New Roman"/>
          <w:b/>
          <w:i w:val="false"/>
          <w:color w:val="000000"/>
          <w:sz w:val="22"/>
        </w:rPr>
        <w:t xml:space="preserve">(20) </w:t>
      </w:r>
      <w:r>
        <w:rPr>
          <w:rFonts w:ascii="Times New Roman" w:hAnsi="Times New Roman"/>
          <w:b/>
          <w:i w:val="false"/>
          <w:color w:val="000000"/>
          <w:sz w:val="22"/>
        </w:rPr>
        <w:t xml:space="preserve">Amendment of unit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 </w:t>
      </w:r>
      <w:r>
        <w:rPr>
          <w:rFonts w:ascii="Times New Roman" w:hAnsi="Times New Roman"/>
          <w:b w:val="false"/>
          <w:i w:val="false"/>
          <w:color w:val="000000"/>
          <w:sz w:val="22"/>
        </w:rPr>
        <w:t xml:space="preserve">Should the agency determine that a job classification or classifications are appropriately amended into a bargaining unit, but that those classifications existed at the time the employee organization was certified and would separately constitute an appropriate unit, the agency shall file an order directing that an election be conducted. The election will determine whether a majority of the employees in those classifications wish to be represented by the existing certified employee organization. The order shall further require the employer to email a list of the employees in those classifications pursuant to rule </w:t>
      </w:r>
      <w:hyperlink r:id="rId19">
        <w:r>
          <w:rPr>
            <w:rStyle w:val="Hyperlink"/>
            <w:rFonts w:ascii="Times New Roman" w:hAnsi="Times New Roman"/>
            <w:b w:val="false"/>
            <w:i w:val="false"/>
            <w:color w:val="000000"/>
            <w:sz w:val="22"/>
          </w:rPr>
          <w:t>621—5.2</w:t>
        </w:r>
      </w:hyperlink>
      <w:r>
        <w:rPr>
          <w:rFonts w:ascii="Times New Roman" w:hAnsi="Times New Roman"/>
          <w:b w:val="false"/>
          <w:i w:val="false"/>
          <w:color w:val="000000"/>
          <w:sz w:val="22"/>
        </w:rPr>
        <w:t>(20).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color w:val="000000"/>
          <w:sz w:val="22"/>
        </w:rPr>
        <w:t xml:space="preserve">Voter eligibility list. </w:t>
      </w:r>
      <w:r>
        <w:rPr>
          <w:rFonts w:ascii="Times New Roman" w:hAnsi="Times New Roman"/>
          <w:b w:val="false"/>
          <w:i w:val="false"/>
          <w:color w:val="000000"/>
          <w:sz w:val="22"/>
        </w:rPr>
        <w:t>The public employer shall email the list of employees to the agency within seven days of the agency’s order. The list shall be organized alphabetically and contain the names; addresses; email addresses, if known; telephone numbers, if known; and job classifications of the employees eligible to vote; and any other information required by the agency. The agency shall file the list of eligible voters’ names and job classifications, which shall become the official voting list for the election to be conducted. The employer or employee organization shall email proposed additions or deletions of employees’ names, changes in job classifications, addresses, contact information or other eligible voter changes to the agency and other party. The parties may further amend the list by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w:t>
      </w:r>
      <w:r>
        <w:rPr>
          <w:rFonts w:ascii="Times New Roman" w:hAnsi="Times New Roman"/>
          <w:b w:val="false"/>
          <w:i w:val="false"/>
          <w:color w:val="000000"/>
          <w:sz w:val="22"/>
        </w:rPr>
        <w:t> </w:t>
      </w:r>
      <w:r>
        <w:rPr>
          <w:rFonts w:ascii="Times New Roman" w:hAnsi="Times New Roman"/>
          <w:b w:val="false"/>
          <w:i/>
          <w:color w:val="000000"/>
          <w:sz w:val="22"/>
        </w:rPr>
        <w:t xml:space="preserve">Notice of election. </w:t>
      </w:r>
      <w:r>
        <w:rPr>
          <w:rFonts w:ascii="Times New Roman" w:hAnsi="Times New Roman"/>
          <w:b w:val="false"/>
          <w:i w:val="false"/>
          <w:color w:val="000000"/>
          <w:sz w:val="22"/>
        </w:rPr>
        <w:t>Following the employer’s submission of the list of eligible voters, the agency shall file a notice of election containing a sample ballot or script and setting forth the date, time, place, method, and purpose of the election, and such additional information as the board may deem appropriate. The employer shall promptly distribute, electronically or by hard copy, the notice to the affected employees. The employer shall also post the notice in the manner and locations customarily used for the posting of information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w:t>
      </w:r>
      <w:r>
        <w:rPr>
          <w:rFonts w:ascii="Times New Roman" w:hAnsi="Times New Roman"/>
          <w:b w:val="false"/>
          <w:i w:val="false"/>
          <w:color w:val="000000"/>
          <w:sz w:val="22"/>
        </w:rPr>
        <w:t> </w:t>
      </w:r>
      <w:r>
        <w:rPr>
          <w:rFonts w:ascii="Times New Roman" w:hAnsi="Times New Roman"/>
          <w:b w:val="false"/>
          <w:i/>
          <w:color w:val="000000"/>
          <w:sz w:val="22"/>
        </w:rPr>
        <w:t xml:space="preserve">Election fee. </w:t>
      </w:r>
      <w:r>
        <w:rPr>
          <w:rFonts w:ascii="Times New Roman" w:hAnsi="Times New Roman"/>
          <w:b w:val="false"/>
          <w:i w:val="false"/>
          <w:color w:val="000000"/>
          <w:sz w:val="22"/>
        </w:rPr>
        <w:t>No election fee is assessed for an election held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w:t>
      </w:r>
      <w:r>
        <w:rPr>
          <w:rFonts w:ascii="Times New Roman" w:hAnsi="Times New Roman"/>
          <w:b w:val="false"/>
          <w:i w:val="false"/>
          <w:color w:val="000000"/>
          <w:sz w:val="22"/>
        </w:rPr>
        <w:t> </w:t>
      </w:r>
      <w:r>
        <w:rPr>
          <w:rFonts w:ascii="Times New Roman" w:hAnsi="Times New Roman"/>
          <w:b w:val="false"/>
          <w:i/>
          <w:color w:val="000000"/>
          <w:sz w:val="22"/>
        </w:rPr>
        <w:t xml:space="preserve">Ballots. </w:t>
      </w:r>
      <w:r>
        <w:rPr>
          <w:rFonts w:ascii="Times New Roman" w:hAnsi="Times New Roman"/>
          <w:b w:val="false"/>
          <w:i w:val="false"/>
          <w:color w:val="000000"/>
          <w:sz w:val="22"/>
        </w:rPr>
        <w:t>Ballots shall contain the following question, “Do you wish to be represented for purposes of collective bargaining by [name of employee organization]?” followed by the choices “Yes” or “No.”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results.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completion of a valid amendment of unit election in which a majority of employees voting cast ballots in favor of representation by the certified employee organization, the agency shall file an order amending the unit as previously determined to be appropriate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completion of a valid amendment of unit election in which a majority of employees voting did not cast ballots in favor of representation by the certified employee organization, the agency shall file an order dismissing the amendment of unit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4458C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621—5.9</w:t>
      </w:r>
      <w:r>
        <w:rPr>
          <w:rFonts w:ascii="Times New Roman" w:hAnsi="Times New Roman"/>
          <w:b/>
          <w:i w:val="false"/>
          <w:color w:val="000000"/>
          <w:sz w:val="22"/>
        </w:rPr>
        <w:t xml:space="preserve">(20) </w:t>
      </w:r>
      <w:r>
        <w:rPr>
          <w:rFonts w:ascii="Times New Roman" w:hAnsi="Times New Roman"/>
          <w:b/>
          <w:i w:val="false"/>
          <w:color w:val="000000"/>
          <w:sz w:val="22"/>
        </w:rPr>
        <w:t xml:space="preserve">Destruction of ballots. </w:t>
      </w:r>
      <w:r>
        <w:rPr>
          <w:rFonts w:ascii="Times New Roman" w:hAnsi="Times New Roman"/>
          <w:b w:val="false"/>
          <w:i w:val="false"/>
          <w:color w:val="000000"/>
          <w:sz w:val="22"/>
        </w:rPr>
        <w:t>In the absence of litigation over the validity or outcome of an election and after a period of 60 days has elapsed from the date of the filing of an order of certification, noncertification, recertification, decertification or continued certification of an employee organization pursuant to the election, the agency will cause the ballots cast in the election to be destroyed.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4458C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0">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3/4/75]</w:t>
      </w:r>
    </w:p>
    <w:p>
      <w:pPr>
        <w:spacing w:before="0" w:after="0"/>
        <w:ind w:left="120"/>
        <w:jc w:val="center"/>
      </w:pPr>
      <w:r>
        <w:rPr>
          <w:rFonts w:ascii="Times New Roman" w:hAnsi="Times New Roman"/>
          <w:b w:val="false"/>
          <w:i w:val="false"/>
          <w:color w:val="000000"/>
          <w:sz w:val="21"/>
        </w:rPr>
        <w:t>[Filed 10/29/76, Notice 9/22/76—published 11/17/76, effective 12/22/76]</w:t>
      </w:r>
    </w:p>
    <w:p>
      <w:pPr>
        <w:spacing w:before="0" w:after="0"/>
        <w:ind w:left="120"/>
        <w:jc w:val="center"/>
      </w:pPr>
      <w:r>
        <w:rPr>
          <w:rFonts w:ascii="Times New Roman" w:hAnsi="Times New Roman"/>
          <w:b w:val="false"/>
          <w:i w:val="false"/>
          <w:color w:val="000000"/>
          <w:sz w:val="21"/>
        </w:rPr>
        <w:t>[Filed emergency 7/22/77—published 8/10/77, effective 8/15/77]</w:t>
      </w:r>
    </w:p>
    <w:p>
      <w:pPr>
        <w:spacing w:before="0" w:after="0"/>
        <w:ind w:left="120"/>
        <w:jc w:val="center"/>
      </w:pPr>
      <w:r>
        <w:rPr>
          <w:rFonts w:ascii="Times New Roman" w:hAnsi="Times New Roman"/>
          <w:b w:val="false"/>
          <w:i w:val="false"/>
          <w:color w:val="000000"/>
          <w:sz w:val="21"/>
        </w:rPr>
        <w:t>[Filed 10/26/77, Notice 9/21/77—published 11/16/77, effective 12/21/77]</w:t>
      </w:r>
    </w:p>
    <w:p>
      <w:pPr>
        <w:spacing w:before="0" w:after="0"/>
        <w:ind w:left="120"/>
        <w:jc w:val="center"/>
      </w:pPr>
      <w:r>
        <w:rPr>
          <w:rFonts w:ascii="Times New Roman" w:hAnsi="Times New Roman"/>
          <w:b w:val="false"/>
          <w:i w:val="false"/>
          <w:color w:val="000000"/>
          <w:sz w:val="21"/>
        </w:rPr>
        <w:t>[Filed 11/7/80, Notice 9/17/80—published 11/26/80, effective 12/31/80]</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emergency 7/23/85—published 8/14/85, effective 7/23/85]</w:t>
      </w:r>
    </w:p>
    <w:p>
      <w:pPr>
        <w:spacing w:before="0" w:after="0"/>
        <w:ind w:left="120"/>
        <w:jc w:val="center"/>
      </w:pPr>
      <w:r>
        <w:rPr>
          <w:rFonts w:ascii="Times New Roman" w:hAnsi="Times New Roman"/>
          <w:b w:val="false"/>
          <w:i w:val="false"/>
          <w:color w:val="000000"/>
          <w:sz w:val="21"/>
        </w:rPr>
        <w:t>[Filed 10/9/86, Notice 8/27/86—published 11/5/86, effective 12/10/86]</w:t>
      </w:r>
    </w:p>
    <w:p>
      <w:pPr>
        <w:spacing w:before="0" w:after="0"/>
        <w:ind w:left="120"/>
        <w:jc w:val="center"/>
      </w:pPr>
      <w:r>
        <w:rPr>
          <w:rFonts w:ascii="Times New Roman" w:hAnsi="Times New Roman"/>
          <w:b w:val="false"/>
          <w:i w:val="false"/>
          <w:color w:val="000000"/>
          <w:sz w:val="21"/>
        </w:rPr>
        <w:t>[Filed Without Notice ARC 8953B, IAB 7/28/10, effective 9/1/10]</w:t>
      </w:r>
    </w:p>
    <w:p>
      <w:pPr>
        <w:spacing w:before="0" w:after="0"/>
        <w:ind w:left="120"/>
        <w:jc w:val="center"/>
      </w:pPr>
      <w:r>
        <w:rPr>
          <w:rFonts w:ascii="Times New Roman" w:hAnsi="Times New Roman"/>
          <w:b w:val="false"/>
          <w:i w:val="false"/>
          <w:color w:val="000000"/>
          <w:sz w:val="21"/>
        </w:rPr>
        <w:t>[Filed Emergency ARC 3278C, IAB 8/30/17, effective 8/10/17]</w:t>
      </w:r>
    </w:p>
    <w:p>
      <w:pPr>
        <w:spacing w:before="0" w:after="0"/>
        <w:ind w:left="120"/>
        <w:jc w:val="center"/>
      </w:pPr>
      <w:r>
        <w:rPr>
          <w:rFonts w:ascii="Times New Roman" w:hAnsi="Times New Roman"/>
          <w:b w:val="false"/>
          <w:i w:val="false"/>
          <w:color w:val="000000"/>
          <w:sz w:val="21"/>
        </w:rPr>
        <w:t>[Filed ARC 3803C</w:t>
      </w:r>
      <w:r>
        <w:rPr>
          <w:rFonts w:ascii="Times New Roman" w:hAnsi="Times New Roman"/>
          <w:b w:val="false"/>
          <w:i w:val="false"/>
          <w:color w:val="000000"/>
          <w:sz w:val="21"/>
        </w:rPr>
        <w:t xml:space="preserve"> (Notice ARC 3671C, IAB 3/14/18)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3933C</w:t>
      </w:r>
      <w:r>
        <w:rPr>
          <w:rFonts w:ascii="Times New Roman" w:hAnsi="Times New Roman"/>
          <w:b w:val="false"/>
          <w:i w:val="false"/>
          <w:color w:val="000000"/>
          <w:sz w:val="21"/>
        </w:rPr>
        <w:t xml:space="preserve"> (Notice ARC 3825C, IAB 6/6/18)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4458C</w:t>
      </w:r>
      <w:r>
        <w:rPr>
          <w:rFonts w:ascii="Times New Roman" w:hAnsi="Times New Roman"/>
          <w:b w:val="false"/>
          <w:i w:val="false"/>
          <w:color w:val="000000"/>
          <w:sz w:val="21"/>
        </w:rPr>
        <w:t xml:space="preserve"> (Notice ARC 4366C,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5631C</w:t>
      </w:r>
      <w:r>
        <w:rPr>
          <w:rFonts w:ascii="Times New Roman" w:hAnsi="Times New Roman"/>
          <w:b w:val="false"/>
          <w:i w:val="false"/>
          <w:color w:val="000000"/>
          <w:sz w:val="21"/>
        </w:rPr>
        <w:t xml:space="preserve"> (Notice ARC 5534C, IAB 3/24/21)</w:t>
      </w:r>
      <w:r>
        <w:rPr>
          <w:rFonts w:ascii="Times New Roman" w:hAnsi="Times New Roman"/>
          <w:b w:val="false"/>
          <w:i w:val="false"/>
          <w:color w:val="000000"/>
          <w:sz w:val="21"/>
        </w:rPr>
        <w:t>, IAB 5/19/21, effective 6/23/21]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pdf" Type="http://schemas.openxmlformats.org/officeDocument/2006/relationships/hyperlink" Id="rId5"/>
    <Relationship TargetMode="External" Target="https://www.legis.iowa.gov/docs/iac/rule/621.4.3.pdf" Type="http://schemas.openxmlformats.org/officeDocument/2006/relationships/hyperlink" Id="rId6"/>
    <Relationship TargetMode="External" Target="https://www.legis.iowa.gov/docs/iac/rule/621.5.2.pdf" Type="http://schemas.openxmlformats.org/officeDocument/2006/relationships/hyperlink" Id="rId7"/>
    <Relationship TargetMode="External" Target="https://www.legis.iowa.gov/docs/iac/rule/621.5.2.pdf" Type="http://schemas.openxmlformats.org/officeDocument/2006/relationships/hyperlink" Id="rId8"/>
    <Relationship TargetMode="External" Target="https://www.legis.iowa.gov/docs/iac/rule/621.4.3.pdf" Type="http://schemas.openxmlformats.org/officeDocument/2006/relationships/hyperlink" Id="rId9"/>
    <Relationship TargetMode="External" Target="https://www.legis.iowa.gov/docs/iac/chapter/621.2.pdf" Type="http://schemas.openxmlformats.org/officeDocument/2006/relationships/hyperlink" Id="rId10"/>
    <Relationship TargetMode="External" Target="https://www.legis.iowa.gov/docs/ico/chapter/20.25.pdf" Type="http://schemas.openxmlformats.org/officeDocument/2006/relationships/hyperlink" Id="rId11"/>
    <Relationship TargetMode="External" Target="https://www.legis.iowa.gov/docs/ico/chapter/20.25.pdf" Type="http://schemas.openxmlformats.org/officeDocument/2006/relationships/hyperlink" Id="rId12"/>
    <Relationship TargetMode="External" Target="https://www.legis.iowa.gov/docs/ico/chapter/20.25.pdf" Type="http://schemas.openxmlformats.org/officeDocument/2006/relationships/hyperlink" Id="rId13"/>
    <Relationship TargetMode="External" Target="https://www.legis.iowa.gov/docs/iac/rule/621.4.3.pdf" Type="http://schemas.openxmlformats.org/officeDocument/2006/relationships/hyperlink" Id="rId14"/>
    <Relationship TargetMode="External" Target="https://www.legis.iowa.gov/docs/iac/rule/621.5.2.pdf" Type="http://schemas.openxmlformats.org/officeDocument/2006/relationships/hyperlink" Id="rId15"/>
    <Relationship TargetMode="External" Target="https://www.legis.iowa.gov/docs/iac/rule/621.4.3.pdf" Type="http://schemas.openxmlformats.org/officeDocument/2006/relationships/hyperlink" Id="rId16"/>
    <Relationship TargetMode="External" Target="https://www.legis.iowa.gov/docs/iac/chapter/621.621.pdf" Type="http://schemas.openxmlformats.org/officeDocument/2006/relationships/hyperlink" Id="rId17"/>
    <Relationship TargetMode="External" Target="https://www.legis.iowa.gov/docs/iac/rule/621.5.2.pdf" Type="http://schemas.openxmlformats.org/officeDocument/2006/relationships/hyperlink" Id="rId18"/>
    <Relationship TargetMode="External" Target="https://www.legis.iowa.gov/docs/iac/rule/621.5.2.pdf" Type="http://schemas.openxmlformats.org/officeDocument/2006/relationships/hyperlink" Id="rId19"/>
    <Relationship TargetMode="External" Target="https://www.legis.iowa.gov/docs/ico/chapter/20.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