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BARGAINING UNIT AND BARGAINING</w:t>
      </w:r>
      <w:r>
        <w:br/>
      </w:r>
      <w:r>
        <w:rPr>
          <w:rFonts w:ascii="Times New Roman" w:hAnsi="Times New Roman"/>
          <w:b w:val="false"/>
          <w:i w:val="false"/>
          <w:color w:val="000000"/>
          <w:sz w:val="21"/>
        </w:rPr>
        <w:t>REPRESENTATIVE DETERMINATION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621—4.1</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determine an appropriate bargaining unit when requested by petition. Once a unit is initially determined, parties may request by petition: reconsideration of the unit, amendment of the unit, or clarification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may certify an employee organization to be the exclusive bargaining representative for a unit when requested by a petition or an application for intervention. Once certified, the employee organization will be subject to retention and recertification elections and may be subject to decertification if a petition is filed by an employee of the bargaining unit. The employee organization’s certification may be amended when requested by petition by the employee organization or by the public employer, or when the agency files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 organization shall have its certification revoked for failure to pay its election fees, or its certification may be revoked for failure to comply with the requirements of Iowa Code section </w:t>
      </w:r>
      <w:hyperlink r:id="rId5">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Representation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retention and recertification, and decertification elections. </w:t>
      </w:r>
      <w:r>
        <w:rPr>
          <w:rFonts w:ascii="Times New Roman" w:hAnsi="Times New Roman"/>
          <w:b w:val="false"/>
          <w:i w:val="false"/>
          <w:color w:val="000000"/>
          <w:sz w:val="22"/>
        </w:rPr>
        <w:t>The initial certification, retention and recertification, and decertification of an employee organization require elections in accordance with 621—Chapters 5 and 15. The three types of elections affecting the bargaining representative determination or an employee organization’s certification status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election, which is initiated by the filing of a petition by the employee organization or the public employer, for the initial certification of an employee organization to be the exclusive bargaining representative for a bargaining unit of public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retention and recertification election, which is initiated by the filing of notice by the agency, for the retention and recertification of a certified employee organization;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decertification election, which is initiated by a public employee of a bargaining unit, for the decertification of an existing certified employee organization that represents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elections—professional/nonprofessional unit and amendment of unit. </w:t>
      </w:r>
      <w:r>
        <w:rPr>
          <w:rFonts w:ascii="Times New Roman" w:hAnsi="Times New Roman"/>
          <w:b w:val="false"/>
          <w:i w:val="false"/>
          <w:color w:val="000000"/>
          <w:sz w:val="22"/>
        </w:rPr>
        <w:t xml:space="preserve">When a bargaining unit is determined or amended, an election may be required as provided in </w:t>
      </w:r>
      <w:hyperlink r:id="rId6">
        <w:r>
          <w:rPr>
            <w:rStyle w:val="Hyperlink"/>
            <w:rFonts w:ascii="Times New Roman" w:hAnsi="Times New Roman"/>
            <w:b w:val="false"/>
            <w:i w:val="false"/>
            <w:color w:val="000000"/>
            <w:sz w:val="22"/>
          </w:rPr>
          <w:t>621—Chapter 5</w:t>
        </w:r>
      </w:hyperlink>
      <w:r>
        <w:rPr>
          <w:rFonts w:ascii="Times New Roman" w:hAnsi="Times New Roman"/>
          <w:b w:val="false"/>
          <w:i w:val="false"/>
          <w:color w:val="000000"/>
          <w:sz w:val="22"/>
        </w:rPr>
        <w:t>. The two types of other elections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and nonprofessional election occurs when the agency files an order directing the election after determining that professional and nonprofessional employees are appropriately included in the same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amendment of unit election occurs when the agency files an order directing the election after determining that a job classification or classifications are appropriately amended into a bargaining unit, but a question of representation exists. A question of representation exists when the job classification(s) sought to be amended into a bargaining unit was in existence at the time the employee organization was certified to represent the bargaining unit and the job classification(s) separately constitutes an appropriate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Separate or combined petitions. </w:t>
      </w:r>
      <w:r>
        <w:rPr>
          <w:rFonts w:ascii="Times New Roman" w:hAnsi="Times New Roman"/>
          <w:b w:val="false"/>
          <w:i w:val="false"/>
          <w:color w:val="000000"/>
          <w:sz w:val="22"/>
        </w:rPr>
        <w:t xml:space="preserve">Requests for the initial bargaining unit determination and the bargaining representative certification shall be by petitions which may be filed separately or on a combined petition form pursuant to </w:t>
      </w:r>
      <w:hyperlink r:id="rId7">
        <w:r>
          <w:rPr>
            <w:rStyle w:val="Hyperlink"/>
            <w:rFonts w:ascii="Times New Roman" w:hAnsi="Times New Roman"/>
            <w:b w:val="false"/>
            <w:i w:val="false"/>
            <w:color w:val="000000"/>
            <w:sz w:val="22"/>
          </w:rPr>
          <w:t>rule 621</w:t>
        </w:r>
      </w:hyperlink>
      <w:r>
        <w:rPr>
          <w:rFonts w:ascii="Times New Roman" w:hAnsi="Times New Roman"/>
          <w:b w:val="false"/>
          <w:i w:val="false"/>
          <w:color w:val="000000"/>
          <w:sz w:val="22"/>
        </w:rPr>
        <w:t>—</w:t>
      </w:r>
      <w:hyperlink r:id="rId8">
        <w:r>
          <w:rPr>
            <w:rStyle w:val="Hyperlink"/>
            <w:rFonts w:ascii="Times New Roman" w:hAnsi="Times New Roman"/>
            <w:b w:val="false"/>
            <w:i w:val="false"/>
            <w:color w:val="000000"/>
            <w:sz w:val="22"/>
          </w:rPr>
          <w:t>4.4(20)</w:t>
        </w:r>
      </w:hyperlink>
      <w:r>
        <w:rPr>
          <w:rFonts w:ascii="Times New Roman" w:hAnsi="Times New Roman"/>
          <w:b w:val="false"/>
          <w:i w:val="false"/>
          <w:color w:val="000000"/>
          <w:sz w:val="22"/>
        </w:rPr>
        <w:t>. When a request has been made to a public employer to bargain collectively with a designated group of public employees and the agency has not previously determined the bargaining unit, the petitions shall be filed jointly or on a combined form prescribed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Intervention and additional parties. </w:t>
      </w:r>
      <w:r>
        <w:rPr>
          <w:rFonts w:ascii="Times New Roman" w:hAnsi="Times New Roman"/>
          <w:b w:val="false"/>
          <w:i w:val="false"/>
          <w:color w:val="000000"/>
          <w:sz w:val="22"/>
        </w:rPr>
        <w:t xml:space="preserve">See rule </w:t>
      </w:r>
      <w:hyperlink r:id="rId9">
        <w:r>
          <w:rPr>
            <w:rStyle w:val="Hyperlink"/>
            <w:rFonts w:ascii="Times New Roman" w:hAnsi="Times New Roman"/>
            <w:b w:val="false"/>
            <w:i w:val="false"/>
            <w:color w:val="000000"/>
            <w:sz w:val="22"/>
          </w:rPr>
          <w:t>621—2.4(20)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Withdrawal of petitions. </w:t>
      </w:r>
      <w:r>
        <w:rPr>
          <w:rFonts w:ascii="Times New Roman" w:hAnsi="Times New Roman"/>
          <w:b w:val="false"/>
          <w:i w:val="false"/>
          <w:color w:val="000000"/>
          <w:sz w:val="22"/>
        </w:rPr>
        <w:t xml:space="preserve">Petitions may be withdrawn only with the consent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of all petitions. </w:t>
      </w:r>
      <w:r>
        <w:rPr>
          <w:rFonts w:ascii="Times New Roman" w:hAnsi="Times New Roman"/>
          <w:b w:val="false"/>
          <w:i w:val="false"/>
          <w:color w:val="000000"/>
          <w:sz w:val="22"/>
        </w:rPr>
        <w:t xml:space="preserve">All petitions and subsequent documents submitted pursuant to this chapter shall be electronically filed pursuant to </w:t>
      </w:r>
      <w:hyperlink r:id="rId10">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 unless otherwise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621—4.2</w:t>
      </w:r>
      <w:r>
        <w:rPr>
          <w:rFonts w:ascii="Times New Roman" w:hAnsi="Times New Roman"/>
          <w:b/>
          <w:i w:val="false"/>
          <w:color w:val="000000"/>
          <w:sz w:val="22"/>
        </w:rPr>
        <w:t xml:space="preserve">(20) </w:t>
      </w:r>
      <w:r>
        <w:rPr>
          <w:rFonts w:ascii="Times New Roman" w:hAnsi="Times New Roman"/>
          <w:b/>
          <w:i w:val="false"/>
          <w:color w:val="000000"/>
          <w:sz w:val="22"/>
        </w:rPr>
        <w:t xml:space="preserve">Unit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bargaining unit determination shall be on an agency-prescribed form and filed with the agency. The petition shall identify and describe the proposed unit and indicate the unit’s status as a public safety or non-public safety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Notice to parties. </w:t>
      </w:r>
      <w:r>
        <w:rPr>
          <w:rFonts w:ascii="Times New Roman" w:hAnsi="Times New Roman"/>
          <w:b w:val="false"/>
          <w:i w:val="false"/>
          <w:color w:val="000000"/>
          <w:sz w:val="22"/>
        </w:rPr>
        <w:t xml:space="preserve">Upon the filing of a proper petition, the agency shall serve copies thereof upon other interested parties by certified mail, return receipt requested. The agency shall file a notice to employees, giving notice that the petition has been filed and setting forth the rights of employees under Iowa Code chapter </w:t>
      </w:r>
      <w:hyperlink r:id="rId1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employer shall promptly distribute, electronically or by hard copy, the petition and notice to the affected employees. The employer shall also promptly post the petition and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board or administrative law judge shall file a notice of hearing setting forth the time, date and place of the hearing and any other relevant information.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 xml:space="preserve">See </w:t>
      </w:r>
      <w:hyperlink r:id="rId12">
        <w:r>
          <w:rPr>
            <w:rStyle w:val="Hyperlink"/>
            <w:rFonts w:ascii="Times New Roman" w:hAnsi="Times New Roman"/>
            <w:b w:val="false"/>
            <w:i w:val="false"/>
            <w:color w:val="000000"/>
            <w:sz w:val="22"/>
          </w:rPr>
          <w:t>rule 621—2.4(20)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Professional/nonprofessional unit elections. </w:t>
      </w:r>
      <w:r>
        <w:rPr>
          <w:rFonts w:ascii="Times New Roman" w:hAnsi="Times New Roman"/>
          <w:b w:val="false"/>
          <w:i w:val="false"/>
          <w:color w:val="000000"/>
          <w:sz w:val="22"/>
        </w:rPr>
        <w:t>Should the agency determine, in any case, that professional and nonprofessional employees are appropriately included in the same bargaining unit, the agency shall file an order directing that an election be conducted to determine whether the professional and nonprofessional employees wish to be represented in a single bargaining unit. The election shall be conducted in accordance with rule 621—5.7(20).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of bargaining unit determination. </w:t>
      </w:r>
      <w:r>
        <w:rPr>
          <w:rFonts w:ascii="Times New Roman" w:hAnsi="Times New Roman"/>
          <w:b w:val="false"/>
          <w:i w:val="false"/>
          <w:color w:val="000000"/>
          <w:sz w:val="22"/>
        </w:rPr>
        <w:t>Cases on bargaining unit determination may be informally settled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may stipulate to the composition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petitioning party shall prepare a stipulation setting forth in detail the composition of the bargaining unit as agreed upon by all parties. The stipulation shall be signed by the authorized representatives of the parties involved and shall be filed with the agency for informal review and tentative approval. In the event the parties agree to a combined unit of professional and nonprofessional employees, the stipulation shall set forth both those job classifications included within the professional category and those job classifications included within the nonprofessional category.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agency fails to tentatively approve the stipulation, the agency shall notify the parties and, unless the parties amend the stipulation in a manner to gain tentative approval of the agency, the matter shall proceed to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agency tentatively approves the stipulation, the agency shall file a public notice of proposed decision. The public employer shall promptly post copies of the notice of the proposed decision, for a period of not less than one calendar week, in a prominent place in the main office of the public employer accessible to the general public.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the proposed decision shall identify the parties; specify the terms of the proposed decision; list the names, addresses, telephone numbers, and email addresses of the parties or their authorized representatives to whom inquiries by the public should be directed; and, further, state the date and method by which written objection to the proposed decision must be filed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Objections to the proposed decision must be electronically filed with the agency by the date posted in the notice of proposed decision. Objections shall set out the specific grounds of objection. The objecting party must identify itself and provide a mailing address, telephone number, and email address, if available. The agency shall promptly advise the parties of the objections and make any investigation deemed appropriate. If the agency deems the objections to be of substance, the parties may, with agency approval, amend their proposed decision to conform therewith, and the objecting party shall be notified by the agency of the amendment. If the objections cannot be informally resolved, they may be dismissed or resolved at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board decision on the informal settlement shall be reserved until expiration of the time for filing of objections. If no objections have been filed; or if filed objections have been resolved through amendment of the proposed decision; or if filed objections, after inquiry by the board, were found to be frivolous, the board shall endorse the proposed decision as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interested parties are unable to informally settle a case on bargaining unit determination within 15 days of service of a petition, the board or administrative law judge may order any interested party to file its proposed unit description.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621—4.3</w:t>
      </w:r>
      <w:r>
        <w:rPr>
          <w:rFonts w:ascii="Times New Roman" w:hAnsi="Times New Roman"/>
          <w:b/>
          <w:i w:val="false"/>
          <w:color w:val="000000"/>
          <w:sz w:val="22"/>
        </w:rPr>
        <w:t xml:space="preserve">(20) </w:t>
      </w:r>
      <w:r>
        <w:rPr>
          <w:rFonts w:ascii="Times New Roman" w:hAnsi="Times New Roman"/>
          <w:b/>
          <w:i w:val="false"/>
          <w:color w:val="000000"/>
          <w:sz w:val="22"/>
        </w:rPr>
        <w:t xml:space="preserve">Bargaining representative determination (election 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Form of petition. </w:t>
      </w:r>
      <w:r>
        <w:rPr>
          <w:rFonts w:ascii="Times New Roman" w:hAnsi="Times New Roman"/>
          <w:b w:val="false"/>
          <w:i w:val="false"/>
          <w:color w:val="000000"/>
          <w:sz w:val="22"/>
        </w:rPr>
        <w:t>Petitions for bargaining representative determination (election petition) shall be on an agency-prescribed form and filed with the agency. These petitions shall be of three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certification petition, filed by an employee organization requesting that through an election it be certified as the exclusive bargaining representative of an appropriate unit of public employees. The name of the employee organization which appears on the petition, or the petition as amended, shall be the name which appears on the election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decertification petition, filed by a bargaining unit employee requesting an election to determine whether a majority of the employees in the bargaining unit wish to continue to be represented by a certified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representation petition, filed by a public employer requesting an election to determine the bargaining representative, if any, of the employees in the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Showing of interest—certification—decertification—intervention. </w:t>
      </w:r>
      <w:r>
        <w:rPr>
          <w:rFonts w:ascii="Times New Roman" w:hAnsi="Times New Roman"/>
          <w:b w:val="false"/>
          <w:i w:val="false"/>
          <w:color w:val="000000"/>
          <w:sz w:val="22"/>
        </w:rPr>
        <w:t>Whenever a petition for certification or decertification is filed, or whenever intervention is requested for the purpose of being placed on an election ballot, the petitioner or intervenor shall submit, by ordinary mail or personal delivery, evidence that the petition or application for intervention is supported by 30 percent of the employees in the bargaining unit. In petitions for certification or applications for intervention, such showing of interest shall be dated and signed not more than one year prior to its submission; shall contain the job classification of the signatory; and shall contain a statement that the signatory is a member of the employee organization or has authorized it to bargain collectively on the signatory’s behalf. In petitions for decertification, evidence of interest shall be as provided above, except the evidence of interest shall instead contain a statement that the signatory no longer wishes to be represented by the certified employee organization. When a representation petition is filed by an employer, no showing of interest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showing of interest. </w:t>
      </w:r>
      <w:r>
        <w:rPr>
          <w:rFonts w:ascii="Times New Roman" w:hAnsi="Times New Roman"/>
          <w:b w:val="false"/>
          <w:i w:val="false"/>
          <w:color w:val="000000"/>
          <w:sz w:val="22"/>
        </w:rPr>
        <w:t xml:space="preserve">The public employer shall, within seven days of receipt of notice of a certification or decertification petition, file with the agency a list of the names and job classifications of the employees in the unit which is the subject of the petition or, in the case of a combined petition, the employees in the unit requested by the petitioner. The agency shall administratively determine the sufficiency of the showing of interest upon receipt of the list. This determination, including the identification and number of signers of the showing of interest, shall be confidential and not subject to review, and parties other than the party submitting the showing of interest shall not be entitled to a copy or examination of the showing of interest. If the employer fails to furnish the list of employees, the agency shall determine the sufficiency of the showing of interest by whatever means it deems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Upon the filing of a petition for certification, decertification or representation, the agency shall file a notice to employees, giving notice that an election petition has been filed and setting forth the rights of employees under Iowa Code chapter </w:t>
      </w:r>
      <w:hyperlink r:id="rId13">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Direction of election. </w:t>
      </w:r>
      <w:r>
        <w:rPr>
          <w:rFonts w:ascii="Times New Roman" w:hAnsi="Times New Roman"/>
          <w:b w:val="false"/>
          <w:i w:val="false"/>
          <w:color w:val="000000"/>
          <w:sz w:val="22"/>
        </w:rPr>
        <w:t xml:space="preserve">Whenever an election petition is filed which conforms to these rules and Iowa Code chapter </w:t>
      </w:r>
      <w:hyperlink r:id="rId1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and the appropriate bargaining unit has been previously determined, an election shall be directed and conducted under the provisions of </w:t>
      </w:r>
      <w:hyperlink r:id="rId15">
        <w:r>
          <w:rPr>
            <w:rStyle w:val="Hyperlink"/>
            <w:rFonts w:ascii="Times New Roman" w:hAnsi="Times New Roman"/>
            <w:b w:val="false"/>
            <w:i w:val="false"/>
            <w:color w:val="000000"/>
            <w:sz w:val="22"/>
          </w:rPr>
          <w:t>621—Chapter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 xml:space="preserve">See </w:t>
      </w:r>
      <w:hyperlink r:id="rId16">
        <w:r>
          <w:rPr>
            <w:rStyle w:val="Hyperlink"/>
            <w:rFonts w:ascii="Times New Roman" w:hAnsi="Times New Roman"/>
            <w:b w:val="false"/>
            <w:i w:val="false"/>
            <w:color w:val="000000"/>
            <w:sz w:val="22"/>
          </w:rPr>
          <w:t>rule 621—2.4(20)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621—4.4</w:t>
      </w:r>
      <w:r>
        <w:rPr>
          <w:rFonts w:ascii="Times New Roman" w:hAnsi="Times New Roman"/>
          <w:b/>
          <w:i w:val="false"/>
          <w:color w:val="000000"/>
          <w:sz w:val="22"/>
        </w:rPr>
        <w:t xml:space="preserve">(20) </w:t>
      </w:r>
      <w:r>
        <w:rPr>
          <w:rFonts w:ascii="Times New Roman" w:hAnsi="Times New Roman"/>
          <w:b/>
          <w:i w:val="false"/>
          <w:color w:val="000000"/>
          <w:sz w:val="22"/>
        </w:rPr>
        <w:t xml:space="preserve">Concurrent (combined)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 combined petition for both bargaining unit determination and bargaining representative certification shall be filed whenever the bargaining unit has not been previously determined and a representative has not been certified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combined petition for unit determination and representative certification shall be on an agency-prescribed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hearing, and notice to employees. </w:t>
      </w:r>
      <w:r>
        <w:rPr>
          <w:rFonts w:ascii="Times New Roman" w:hAnsi="Times New Roman"/>
          <w:b w:val="false"/>
          <w:i w:val="false"/>
          <w:color w:val="000000"/>
          <w:sz w:val="22"/>
        </w:rPr>
        <w:t>Upon the filing of a combined petition, notice shall be as provided in subrules </w:t>
      </w:r>
      <w:hyperlink r:id="rId1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Showing of interest. </w:t>
      </w:r>
      <w:r>
        <w:rPr>
          <w:rFonts w:ascii="Times New Roman" w:hAnsi="Times New Roman"/>
          <w:b w:val="false"/>
          <w:i w:val="false"/>
          <w:color w:val="000000"/>
          <w:sz w:val="22"/>
        </w:rPr>
        <w:t>Showing of interest shall be as provided in subrules </w:t>
      </w:r>
      <w:hyperlink r:id="rId20">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Should the board determine an appropriate unit different than that requested, any employee organization affected may request a reasonable period of time to submit additional evidence of interest sufficient to satisfy the requirements of Iowa Code chapter </w:t>
      </w:r>
      <w:hyperlink r:id="rId22">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Scope of hearing. </w:t>
      </w:r>
      <w:r>
        <w:rPr>
          <w:rFonts w:ascii="Times New Roman" w:hAnsi="Times New Roman"/>
          <w:b w:val="false"/>
          <w:i w:val="false"/>
          <w:color w:val="000000"/>
          <w:sz w:val="22"/>
        </w:rPr>
        <w:t>Hearings on combined petitions shall resolve all issues with regard to both bargaining unit determination and bargaining representative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 xml:space="preserve">See </w:t>
      </w:r>
      <w:hyperlink r:id="rId23">
        <w:r>
          <w:rPr>
            <w:rStyle w:val="Hyperlink"/>
            <w:rFonts w:ascii="Times New Roman" w:hAnsi="Times New Roman"/>
            <w:b w:val="false"/>
            <w:i w:val="false"/>
            <w:color w:val="000000"/>
            <w:sz w:val="22"/>
          </w:rPr>
          <w:t>rule 621—2.4(20)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color w:val="000000"/>
          <w:sz w:val="22"/>
        </w:rPr>
        <w:t xml:space="preserve">Professional and nonprofessional elections. </w:t>
      </w:r>
      <w:r>
        <w:rPr>
          <w:rFonts w:ascii="Times New Roman" w:hAnsi="Times New Roman"/>
          <w:b w:val="false"/>
          <w:i w:val="false"/>
          <w:color w:val="000000"/>
          <w:sz w:val="22"/>
        </w:rPr>
        <w:t>See subrule </w:t>
      </w:r>
      <w:hyperlink r:id="rId24">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and rule 621—5.7(20).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621—4.5</w:t>
      </w:r>
      <w:r>
        <w:rPr>
          <w:rFonts w:ascii="Times New Roman" w:hAnsi="Times New Roman"/>
          <w:b/>
          <w:i w:val="false"/>
          <w:color w:val="000000"/>
          <w:sz w:val="22"/>
        </w:rPr>
        <w:t xml:space="preserve">(20) </w:t>
      </w:r>
      <w:r>
        <w:rPr>
          <w:rFonts w:ascii="Times New Roman" w:hAnsi="Times New Roman"/>
          <w:b/>
          <w:i w:val="false"/>
          <w:color w:val="000000"/>
          <w:sz w:val="22"/>
        </w:rPr>
        <w:t xml:space="preserve">Unit reconsideration. </w:t>
      </w:r>
      <w:r>
        <w:rPr>
          <w:rFonts w:ascii="Times New Roman" w:hAnsi="Times New Roman"/>
          <w:b w:val="false"/>
          <w:i w:val="false"/>
          <w:color w:val="000000"/>
          <w:sz w:val="22"/>
        </w:rPr>
        <w:t>A petition for reconsideration of an agency-established bargaining unit may be filed by an employee organization, public employer, or an employee of the public employer. This petition may be filed only in combination with a certification petition. Rules 621—</w:t>
      </w:r>
      <w:hyperlink r:id="rId25">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621—4.2(20)</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621—4.3(20)</w:t>
        </w:r>
      </w:hyperlink>
      <w:r>
        <w:rPr>
          <w:rFonts w:ascii="Times New Roman" w:hAnsi="Times New Roman"/>
          <w:b w:val="false"/>
          <w:i w:val="false"/>
          <w:color w:val="000000"/>
          <w:sz w:val="22"/>
        </w:rPr>
        <w:t xml:space="preserve"> and 621—</w:t>
      </w:r>
      <w:hyperlink r:id="rId28">
        <w:r>
          <w:rPr>
            <w:rStyle w:val="Hyperlink"/>
            <w:rFonts w:ascii="Times New Roman" w:hAnsi="Times New Roman"/>
            <w:b w:val="false"/>
            <w:i w:val="false"/>
            <w:color w:val="000000"/>
            <w:sz w:val="22"/>
          </w:rPr>
          <w:t>4.4(20)</w:t>
        </w:r>
      </w:hyperlink>
      <w:r>
        <w:rPr>
          <w:rFonts w:ascii="Times New Roman" w:hAnsi="Times New Roman"/>
          <w:b w:val="false"/>
          <w:i w:val="false"/>
          <w:color w:val="000000"/>
          <w:sz w:val="22"/>
        </w:rPr>
        <w:t xml:space="preserve"> shall apply. A petition for reconsideration of an agency-established bargaining unit covering state employees may not be filed for at least one year after the initial unit determination. The agency may dismiss the petition for unit reconsideration if the petitioner fails to establish that the previously determined bargaining unit is inappropriate.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621—4.6</w:t>
      </w:r>
      <w:r>
        <w:rPr>
          <w:rFonts w:ascii="Times New Roman" w:hAnsi="Times New Roman"/>
          <w:b/>
          <w:i w:val="false"/>
          <w:color w:val="000000"/>
          <w:sz w:val="22"/>
        </w:rPr>
        <w:t xml:space="preserve">(20) </w:t>
      </w:r>
      <w:r>
        <w:rPr>
          <w:rFonts w:ascii="Times New Roman" w:hAnsi="Times New Roman"/>
          <w:b/>
          <w:i w:val="false"/>
          <w:color w:val="000000"/>
          <w:sz w:val="22"/>
        </w:rPr>
        <w:t xml:space="preserve">Amendment of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for amendment of an agency-determined bargaining unit may be filed by the public employer or the certified employee organization. The petition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addresses, telephone numbers and email addresses of the public employer and the employee organization or their respective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identification and description of the proposed amended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other employee organizations which claim to represent any employees affected by the proposed amendment or a statement that the petitioner has no knowledge of any other such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Job classifications of the employees as to whom the issue is raised, the number of employees, if any, in each classification, and whether each job classification qualifies as a public safety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current status of the unit as either a public safety or a non-public safety unit and the change, if any, to the status of the unit which would result from the requested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specific statement of the petitioner’s reasons for seeking amendment of the unit and any other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Procedure—decision. </w:t>
      </w:r>
      <w:r>
        <w:rPr>
          <w:rFonts w:ascii="Times New Roman" w:hAnsi="Times New Roman"/>
          <w:b w:val="false"/>
          <w:i w:val="false"/>
          <w:color w:val="000000"/>
          <w:sz w:val="22"/>
        </w:rPr>
        <w:t xml:space="preserve">Insofar as applicable, </w:t>
      </w:r>
      <w:hyperlink r:id="rId29">
        <w:r>
          <w:rPr>
            <w:rStyle w:val="Hyperlink"/>
            <w:rFonts w:ascii="Times New Roman" w:hAnsi="Times New Roman"/>
            <w:b w:val="false"/>
            <w:i w:val="false"/>
            <w:color w:val="000000"/>
            <w:sz w:val="22"/>
          </w:rPr>
          <w:t>rule 621</w:t>
        </w:r>
      </w:hyperlink>
      <w:r>
        <w:rPr>
          <w:rFonts w:ascii="Times New Roman" w:hAnsi="Times New Roman"/>
          <w:b w:val="false"/>
          <w:i w:val="false"/>
          <w:color w:val="000000"/>
          <w:sz w:val="22"/>
        </w:rPr>
        <w:t>—</w:t>
      </w:r>
      <w:hyperlink r:id="rId30">
        <w:r>
          <w:rPr>
            <w:rStyle w:val="Hyperlink"/>
            <w:rFonts w:ascii="Times New Roman" w:hAnsi="Times New Roman"/>
            <w:b w:val="false"/>
            <w:i w:val="false"/>
            <w:color w:val="000000"/>
            <w:sz w:val="22"/>
          </w:rPr>
          <w:t>4.2(20)</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Elections; when required. </w:t>
      </w:r>
      <w:r>
        <w:rPr>
          <w:rFonts w:ascii="Times New Roman" w:hAnsi="Times New Roman"/>
          <w:b w:val="false"/>
          <w:i w:val="false"/>
          <w:color w:val="000000"/>
          <w:sz w:val="22"/>
        </w:rPr>
        <w:t>When a question of representation exists, the agency will conduct an amendment of unit election pursuant to rule 621—5.8(20). A question of representation exists when the job classification(s) sought to be amended into a bargaining unit was in existence at the time the employee organization was certified to represent the bargaining unit and the job classification(s) separately constitutes an appropriate bargaining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621—4.7</w:t>
      </w:r>
      <w:r>
        <w:rPr>
          <w:rFonts w:ascii="Times New Roman" w:hAnsi="Times New Roman"/>
          <w:b/>
          <w:i w:val="false"/>
          <w:color w:val="000000"/>
          <w:sz w:val="22"/>
        </w:rPr>
        <w:t xml:space="preserve">(20) </w:t>
      </w:r>
      <w:r>
        <w:rPr>
          <w:rFonts w:ascii="Times New Roman" w:hAnsi="Times New Roman"/>
          <w:b/>
          <w:i w:val="false"/>
          <w:color w:val="000000"/>
          <w:sz w:val="22"/>
        </w:rPr>
        <w:t xml:space="preserve">Unit clarification. </w:t>
      </w:r>
      <w:r>
        <w:rPr>
          <w:rFonts w:ascii="Times New Roman" w:hAnsi="Times New Roman"/>
          <w:b w:val="false"/>
          <w:i w:val="false"/>
          <w:color w:val="000000"/>
          <w:sz w:val="22"/>
        </w:rPr>
        <w:t xml:space="preserve">A petition to clarify the inclusion or exclusion of job classifications or employees in an agency-determined bargaining unit may be filed by the public employer, an affected public employee, or the certified employee organization. Such petition may be filed only if the bargaining unit is represented by a certified bargaining representative. Insofar as applicable, the procedures for such filing shall be as provided in </w:t>
      </w:r>
      <w:hyperlink r:id="rId31">
        <w:r>
          <w:rPr>
            <w:rStyle w:val="Hyperlink"/>
            <w:rFonts w:ascii="Times New Roman" w:hAnsi="Times New Roman"/>
            <w:b w:val="false"/>
            <w:i w:val="false"/>
            <w:color w:val="000000"/>
            <w:sz w:val="22"/>
          </w:rPr>
          <w:t>subrule 4.6(1)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621—4.8</w:t>
      </w:r>
      <w:r>
        <w:rPr>
          <w:rFonts w:ascii="Times New Roman" w:hAnsi="Times New Roman"/>
          <w:b/>
          <w:i w:val="false"/>
          <w:color w:val="000000"/>
          <w:sz w:val="22"/>
        </w:rPr>
        <w:t xml:space="preserve">(20) </w:t>
      </w:r>
      <w:r>
        <w:rPr>
          <w:rFonts w:ascii="Times New Roman" w:hAnsi="Times New Roman"/>
          <w:b/>
          <w:i w:val="false"/>
          <w:color w:val="000000"/>
          <w:sz w:val="22"/>
        </w:rPr>
        <w:t xml:space="preserve">Amendment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Petitions. </w:t>
      </w:r>
      <w:r>
        <w:rPr>
          <w:rFonts w:ascii="Times New Roman" w:hAnsi="Times New Roman"/>
          <w:b w:val="false"/>
          <w:i w:val="false"/>
          <w:color w:val="000000"/>
          <w:sz w:val="22"/>
        </w:rPr>
        <w:t>A petition for the amendment of a certified employee organization’s certification may be filed by the certified employee organization, the public employer or the agency to reflect an act or occurrence affecting the organization or the public employer, such as a name change or merger.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Employee organization. </w:t>
      </w:r>
      <w:r>
        <w:rPr>
          <w:rFonts w:ascii="Times New Roman" w:hAnsi="Times New Roman"/>
          <w:b w:val="false"/>
          <w:i w:val="false"/>
          <w:color w:val="000000"/>
          <w:sz w:val="22"/>
        </w:rPr>
        <w:t>The employee organization must file its petition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affidavit(s) that establishes: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 or occurrence, which the requested amendment would reflect, was authorized by and accomplished in accordance with the certified employee organization’s constitution and bylaws, which provided members with adequate due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Substantial continuity of representation has been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Updated agency reports if there is a change in the employee organization’s name or if there is a change to the employee organization’s governing body. The reports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updated PERB annual report that covers the time period from the last annual report to the time of the filing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updated PERB registration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updated constitution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agency reports for dissolved organizations resulting from a merger. The final agency report shall include a PERB annual report that covers the time period from the last annual report to the time of the merger and shall reflect the closing of the books and accounts of the dissolved employee organization. The certified employee organization may wait and submit its final agency reports following the board’s tentative approval of the amendment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color w:val="000000"/>
          <w:sz w:val="22"/>
        </w:rPr>
        <w:t xml:space="preserve">Public employer. </w:t>
      </w:r>
      <w:r>
        <w:rPr>
          <w:rFonts w:ascii="Times New Roman" w:hAnsi="Times New Roman"/>
          <w:b w:val="false"/>
          <w:i w:val="false"/>
          <w:color w:val="000000"/>
          <w:sz w:val="22"/>
        </w:rPr>
        <w:t>The public employer must file its petition with an affidavit, affidavits or other documents, such as board minutes, establishing a change in the name of the public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The agency may, at any time, file a petition with a document or documents establishing the basis for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w:t>
      </w:r>
      <w:r>
        <w:rPr>
          <w:rFonts w:ascii="Times New Roman" w:hAnsi="Times New Roman"/>
          <w:b w:val="false"/>
          <w:i w:val="false"/>
          <w:color w:val="000000"/>
          <w:sz w:val="22"/>
        </w:rPr>
        <w:t> </w:t>
      </w:r>
      <w:r>
        <w:rPr>
          <w:rFonts w:ascii="Times New Roman" w:hAnsi="Times New Roman"/>
          <w:b w:val="false"/>
          <w:i/>
          <w:color w:val="000000"/>
          <w:sz w:val="22"/>
        </w:rPr>
        <w:t xml:space="preserve">Public employer posting, decisions and objection period. </w:t>
      </w:r>
      <w:r>
        <w:rPr>
          <w:rFonts w:ascii="Times New Roman" w:hAnsi="Times New Roman"/>
          <w:b w:val="false"/>
          <w:i w:val="false"/>
          <w:color w:val="000000"/>
          <w:sz w:val="22"/>
        </w:rPr>
        <w:t>When a petition for amendment of certification is filed which the agency deems sufficient to fulfill the requirements of this rule, the agency shall file a public notice of its proposed decision to amend the employee organization’s certification upon the non-petitioning interested parties. Upon receipt, the public employer shall promptly post the notice of proposed decision, for a period of not less than one calendar week, in a prominent place in the main office of the public employer accessible to the general public.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the proposed decision shall identify the parties; specify the terms of the proposed decision; list the names, addresses, telephone numbers, and email addresses of the parties or their authorized representatives to whom inquiries by the public should be directed; and state the date and method by which written objection to the proposed decision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Objections to the proposed decision must be electronically filed with the agency by the date specified in the notice. Objections shall set out the specific grounds of objection. The objecting party must identify itself and provide a mailing address, telephone number and email address. The agency shall promptly advise the parties of the objections and make any investigation deemed appropriate. When an objection is raised, the agency may investigate and dismiss the objection or conduct a hearing pursuant to </w:t>
      </w:r>
      <w:hyperlink r:id="rId32">
        <w:r>
          <w:rPr>
            <w:rStyle w:val="Hyperlink"/>
            <w:rFonts w:ascii="Times New Roman" w:hAnsi="Times New Roman"/>
            <w:b w:val="false"/>
            <w:i w:val="false"/>
            <w:color w:val="000000"/>
            <w:sz w:val="22"/>
          </w:rPr>
          <w:t>621—Chapter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final agency decision shall be reserved until the expiration of the time for filing objections. If no objections have been filed, the agency may endorse the proposed decision as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621—4.9</w:t>
      </w:r>
      <w:r>
        <w:rPr>
          <w:rFonts w:ascii="Times New Roman" w:hAnsi="Times New Roman"/>
          <w:b/>
          <w:i w:val="false"/>
          <w:color w:val="000000"/>
          <w:sz w:val="22"/>
        </w:rPr>
        <w:t xml:space="preserve">(20) </w:t>
      </w:r>
      <w:r>
        <w:rPr>
          <w:rFonts w:ascii="Times New Roman" w:hAnsi="Times New Roman"/>
          <w:b/>
          <w:i w:val="false"/>
          <w:color w:val="000000"/>
          <w:sz w:val="22"/>
        </w:rPr>
        <w:t xml:space="preserve">Merger of units represented by the same certified employee organization. </w:t>
      </w:r>
      <w:r>
        <w:rPr>
          <w:rFonts w:ascii="Times New Roman" w:hAnsi="Times New Roman"/>
          <w:b w:val="false"/>
          <w:i w:val="false"/>
          <w:color w:val="000000"/>
          <w:sz w:val="22"/>
        </w:rPr>
        <w:t xml:space="preserve">A certified employee organization may petition the agency to merge two of the bargaining units the organization represents into one successive unit. This proceeding does not apply to school districts’ and area education agencies’ reorganizations and mergers pursuant to Iowa Code chapter </w:t>
      </w:r>
      <w:hyperlink r:id="rId33">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to amend a bargaining unit may be filed by a certified employee organization to reflect a merger of two agency-determined bargaining units which have the same public employer and are represented by the same certified employee organization. The petition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addresses, telephone numbers, and email addresses of the public employer and the employee organization or their respective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listing of all PERB cases relevant to the first unit and its certification history followed by a current description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listing of all PERB cases relevant to the second unit and its certification history followed by a current description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identification and description of the proposed amended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other employee organizations which claim to represent any employees affected by the proposed amendment or a statement that the petitioner has no knowledge of any other such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current status of the units as either public safety units or non-public safety units and the change, if any, to the status of the unit, which would result from the requested merger.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specific statement of the petitioner’s reasons for seeking amendment of the unit and 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Accompanying documents. </w:t>
      </w:r>
      <w:r>
        <w:rPr>
          <w:rFonts w:ascii="Times New Roman" w:hAnsi="Times New Roman"/>
          <w:b w:val="false"/>
          <w:i w:val="false"/>
          <w:color w:val="000000"/>
          <w:sz w:val="22"/>
        </w:rPr>
        <w:t>The successive employee organization must file its petition with an affidavit(s) that establishes the following for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 or occurrence (merger), which the requested amendment would reflect, was authorized by and accomplished in accordance with the certified employee organization’s constitution and bylaws, which provided members with adequate due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 continuity of representation has been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Upon the filing of a petition, the agency shall file a notice to employees, giving notice that a petition for the merger of two units has been filed and setting forth the rights of employees under Iowa Code chapter </w:t>
      </w:r>
      <w:hyperlink r:id="rId3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Procedure—decision. </w:t>
      </w:r>
      <w:r>
        <w:rPr>
          <w:rFonts w:ascii="Times New Roman" w:hAnsi="Times New Roman"/>
          <w:b w:val="false"/>
          <w:i w:val="false"/>
          <w:color w:val="000000"/>
          <w:sz w:val="22"/>
        </w:rPr>
        <w:t xml:space="preserve">Insofar as applicable, rule </w:t>
      </w:r>
      <w:hyperlink r:id="rId36">
        <w:r>
          <w:rPr>
            <w:rStyle w:val="Hyperlink"/>
            <w:rFonts w:ascii="Times New Roman" w:hAnsi="Times New Roman"/>
            <w:b w:val="false"/>
            <w:i w:val="false"/>
            <w:color w:val="000000"/>
            <w:sz w:val="22"/>
          </w:rPr>
          <w:t>621—4.2</w:t>
        </w:r>
      </w:hyperlink>
      <w:r>
        <w:rPr>
          <w:rFonts w:ascii="Times New Roman" w:hAnsi="Times New Roman"/>
          <w:b w:val="false"/>
          <w:i w:val="false"/>
          <w:color w:val="000000"/>
          <w:sz w:val="22"/>
        </w:rPr>
        <w:t>(20)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621—4.10</w:t>
      </w:r>
      <w:r>
        <w:rPr>
          <w:rFonts w:ascii="Times New Roman" w:hAnsi="Times New Roman"/>
          <w:b/>
          <w:i w:val="false"/>
          <w:color w:val="000000"/>
          <w:sz w:val="22"/>
        </w:rPr>
        <w:t xml:space="preserve">(20) </w:t>
      </w:r>
      <w:r>
        <w:rPr>
          <w:rFonts w:ascii="Times New Roman" w:hAnsi="Times New Roman"/>
          <w:b/>
          <w:i w:val="false"/>
          <w:color w:val="000000"/>
          <w:sz w:val="22"/>
        </w:rPr>
        <w:t xml:space="preserve">Merger of two units represented by affiliated certified employee organizations. </w:t>
      </w:r>
      <w:r>
        <w:rPr>
          <w:rFonts w:ascii="Times New Roman" w:hAnsi="Times New Roman"/>
          <w:b w:val="false"/>
          <w:i w:val="false"/>
          <w:color w:val="000000"/>
          <w:sz w:val="22"/>
        </w:rPr>
        <w:t xml:space="preserve">A certified employee organization may petition the agency to amend a bargaining unit the organization represents to merge another bargaining unit of employees into the successive unit. The unit of employees added must be represented by an affiliated certified employee organization. This proceeding does not apply to school districts’ and area education agencies’ reorganizations and mergers pursuant to Iowa Code chapter </w:t>
      </w:r>
      <w:hyperlink r:id="rId3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combined petition to amend a bargaining unit and an employee organization’s certification may be filed by a successive employee organization to reflect a merger of two agency-determined bargaining units that have the same public employer and are represented by affiliated certified employee organizations. The combined petition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addresses, telephone numbers, and email addresses of the public employer and the employee organization or their respective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listing of all PERB cases relevant to the first unit and its certification history followed by a current description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listing of all PERB cases relevant to the second unit and its certification history followed by a current description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identification and description of the proposed amended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other employee organizations which claim to represent any employees affected by the proposed amendment or a statement that the petitioner has no knowledge of any other such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current status of the units as either public safety units or non-public safety units and the change, if any, to the status of the unit, which would result from the requested merger.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specific statement of the petitioner’s reasons for seeking amendment of the unit and 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Accompanying documents. </w:t>
      </w:r>
      <w:r>
        <w:rPr>
          <w:rFonts w:ascii="Times New Roman" w:hAnsi="Times New Roman"/>
          <w:b w:val="false"/>
          <w:i w:val="false"/>
          <w:color w:val="000000"/>
          <w:sz w:val="22"/>
        </w:rPr>
        <w:t>The successive employee organization must file its petition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affidavit(s) that establishes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 or occurrence, which the requested amendment would reflect, was authorized by and accomplished in accordance with the certified employee organization’s constitution and bylaws, which provided members with adequate due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Substantial continuity of representation has been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Updated agency reports if there is a change in the employee organization’s name or if there is a change to the employee organization’s governing body. The reports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updated PERB annual report that covers the time period from the last annual report to the time of the filing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updated PERB registration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updated constitution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agency reports for dissolved organizations resulting from a merger. The final agency report shall include a PERB annual report that covers the time period from the last annual report to the time of the merger and shall reflect the closing of the books and accounts of the dissolved employee organization. The certified employee organization may wait and submit its final agency reports following the board’s tentative approval of the amendment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agency shall file a notice to employees, giving notice that a petition to merge two units and amend the certification of the successive employee organization has been filed and setting forth the rights of employees under Iowa Code chapter </w:t>
      </w:r>
      <w:hyperlink r:id="rId3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4.10(4)</w:t>
      </w:r>
      <w:r>
        <w:rPr>
          <w:rFonts w:ascii="Times New Roman" w:hAnsi="Times New Roman"/>
          <w:b w:val="false"/>
          <w:i w:val="false"/>
          <w:color w:val="000000"/>
          <w:sz w:val="22"/>
        </w:rPr>
        <w:t> </w:t>
      </w:r>
      <w:r>
        <w:rPr>
          <w:rFonts w:ascii="Times New Roman" w:hAnsi="Times New Roman"/>
          <w:b w:val="false"/>
          <w:i/>
          <w:color w:val="000000"/>
          <w:sz w:val="22"/>
        </w:rPr>
        <w:t xml:space="preserve">Procedure—decision. </w:t>
      </w:r>
      <w:r>
        <w:rPr>
          <w:rFonts w:ascii="Times New Roman" w:hAnsi="Times New Roman"/>
          <w:b w:val="false"/>
          <w:i w:val="false"/>
          <w:color w:val="000000"/>
          <w:sz w:val="22"/>
        </w:rPr>
        <w:t>Insofar as applicable, rules 621—4.2(20) and 621—4.8(20)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4.10(5)</w:t>
      </w:r>
      <w:r>
        <w:rPr>
          <w:rFonts w:ascii="Times New Roman" w:hAnsi="Times New Roman"/>
          <w:b w:val="false"/>
          <w:i w:val="false"/>
          <w:color w:val="000000"/>
          <w:sz w:val="22"/>
        </w:rPr>
        <w:t> </w:t>
      </w:r>
      <w:r>
        <w:rPr>
          <w:rFonts w:ascii="Times New Roman" w:hAnsi="Times New Roman"/>
          <w:b w:val="false"/>
          <w:i/>
          <w:color w:val="000000"/>
          <w:sz w:val="22"/>
        </w:rPr>
        <w:t xml:space="preserve">Elections. </w:t>
      </w:r>
      <w:r>
        <w:rPr>
          <w:rFonts w:ascii="Times New Roman" w:hAnsi="Times New Roman"/>
          <w:b w:val="false"/>
          <w:i w:val="false"/>
          <w:color w:val="000000"/>
          <w:sz w:val="22"/>
        </w:rPr>
        <w:t>Should the agency determine, in any case, it is appropriate to merge one unit into the successive unit, the agency shall file an order directing that an election be conducted to determine whether the employees of the unit getting merged into the successive unit wish to be represented by the successive certified employee organization. The election shall be conducted in accordance with rule 621—5.8(20).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9/11/79, Notice 7/11/79—published 10/3/79, effective 11/12/79]</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1/11/95, Notice 12/7/94—published 2/1/95, effective 3/8/95]</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3803C</w:t>
      </w:r>
      <w:r>
        <w:rPr>
          <w:rFonts w:ascii="Times New Roman" w:hAnsi="Times New Roman"/>
          <w:b w:val="false"/>
          <w:i w:val="false"/>
          <w:color w:val="000000"/>
          <w:sz w:val="21"/>
        </w:rPr>
        <w:t xml:space="preserve"> (Notice ARC 3671C,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4458C</w:t>
      </w:r>
      <w:r>
        <w:rPr>
          <w:rFonts w:ascii="Times New Roman" w:hAnsi="Times New Roman"/>
          <w:b w:val="false"/>
          <w:i w:val="false"/>
          <w:color w:val="000000"/>
          <w:sz w:val="21"/>
        </w:rPr>
        <w:t xml:space="preserve"> (Notice ARC 4366C,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25.pdf" Type="http://schemas.openxmlformats.org/officeDocument/2006/relationships/hyperlink" Id="rId5"/>
    <Relationship TargetMode="External" Target="https://www.legis.iowa.gov/docs/iac/chapter/621.5.pdf" Type="http://schemas.openxmlformats.org/officeDocument/2006/relationships/hyperlink" Id="rId6"/>
    <Relationship TargetMode="External" Target="https://www.legis.iowa.gov/docs/iac/chapter/621.621.pdf" Type="http://schemas.openxmlformats.org/officeDocument/2006/relationships/hyperlink" Id="rId7"/>
    <Relationship TargetMode="External" Target="https://www.legis.iowa.gov/docs/iac/rule/621.4.4.pdf" Type="http://schemas.openxmlformats.org/officeDocument/2006/relationships/hyperlink" Id="rId8"/>
    <Relationship TargetMode="External" Target="https://www.legis.iowa.gov/docs/iac/rule/621.2.4.pdf" Type="http://schemas.openxmlformats.org/officeDocument/2006/relationships/hyperlink" Id="rId9"/>
    <Relationship TargetMode="External" Target="https://www.legis.iowa.gov/docs/iac/chapter/621.16.pdf" Type="http://schemas.openxmlformats.org/officeDocument/2006/relationships/hyperlink" Id="rId10"/>
    <Relationship TargetMode="External" Target="https://www.legis.iowa.gov/docs/ico/chapter/20.pdf" Type="http://schemas.openxmlformats.org/officeDocument/2006/relationships/hyperlink" Id="rId11"/>
    <Relationship TargetMode="External" Target="https://www.legis.iowa.gov/docs/iac/rule/621.2.4.pdf" Type="http://schemas.openxmlformats.org/officeDocument/2006/relationships/hyperlink" Id="rId12"/>
    <Relationship TargetMode="External" Target="https://www.legis.iowa.gov/docs/ico/chapter/20.pdf" Type="http://schemas.openxmlformats.org/officeDocument/2006/relationships/hyperlink" Id="rId13"/>
    <Relationship TargetMode="External" Target="https://www.legis.iowa.gov/docs/ico/chapter/20.pdf" Type="http://schemas.openxmlformats.org/officeDocument/2006/relationships/hyperlink" Id="rId14"/>
    <Relationship TargetMode="External" Target="https://www.legis.iowa.gov/docs/iac/chapter/621.5.pdf" Type="http://schemas.openxmlformats.org/officeDocument/2006/relationships/hyperlink" Id="rId15"/>
    <Relationship TargetMode="External" Target="https://www.legis.iowa.gov/docs/iac/rule/621.2.4.pdf" Type="http://schemas.openxmlformats.org/officeDocument/2006/relationships/hyperlink" Id="rId16"/>
    <Relationship TargetMode="External" Target="https://www.legis.iowa.gov/docs/iac/rule/621.4.2.pdf" Type="http://schemas.openxmlformats.org/officeDocument/2006/relationships/hyperlink" Id="rId17"/>
    <Relationship TargetMode="External" Target="https://www.legis.iowa.gov/docs/iac/rule/621.4.2.pdf" Type="http://schemas.openxmlformats.org/officeDocument/2006/relationships/hyperlink" Id="rId18"/>
    <Relationship TargetMode="External" Target="https://www.legis.iowa.gov/docs/iac/rule/621.4.3.pdf" Type="http://schemas.openxmlformats.org/officeDocument/2006/relationships/hyperlink" Id="rId19"/>
    <Relationship TargetMode="External" Target="https://www.legis.iowa.gov/docs/iac/rule/621.4.3.pdf" Type="http://schemas.openxmlformats.org/officeDocument/2006/relationships/hyperlink" Id="rId20"/>
    <Relationship TargetMode="External" Target="https://www.legis.iowa.gov/docs/iac/rule/621.4.3.pdf" Type="http://schemas.openxmlformats.org/officeDocument/2006/relationships/hyperlink" Id="rId21"/>
    <Relationship TargetMode="External" Target="https://www.legis.iowa.gov/docs/ico/chapter/20.pdf" Type="http://schemas.openxmlformats.org/officeDocument/2006/relationships/hyperlink" Id="rId22"/>
    <Relationship TargetMode="External" Target="https://www.legis.iowa.gov/docs/iac/rule/621.2.4.pdf" Type="http://schemas.openxmlformats.org/officeDocument/2006/relationships/hyperlink" Id="rId23"/>
    <Relationship TargetMode="External" Target="https://www.legis.iowa.gov/docs/iac/rule/621.4.2.pdf" Type="http://schemas.openxmlformats.org/officeDocument/2006/relationships/hyperlink" Id="rId24"/>
    <Relationship TargetMode="External" Target="https://www.legis.iowa.gov/docs/iac/rule/621.4.1.pdf" Type="http://schemas.openxmlformats.org/officeDocument/2006/relationships/hyperlink" Id="rId25"/>
    <Relationship TargetMode="External" Target="https://www.legis.iowa.gov/docs/iac/rule/621.4.2.pdf" Type="http://schemas.openxmlformats.org/officeDocument/2006/relationships/hyperlink" Id="rId26"/>
    <Relationship TargetMode="External" Target="https://www.legis.iowa.gov/docs/iac/rule/621.4.3.pdf" Type="http://schemas.openxmlformats.org/officeDocument/2006/relationships/hyperlink" Id="rId27"/>
    <Relationship TargetMode="External" Target="https://www.legis.iowa.gov/docs/iac/rule/621.4.4.pdf" Type="http://schemas.openxmlformats.org/officeDocument/2006/relationships/hyperlink" Id="rId28"/>
    <Relationship TargetMode="External" Target="https://www.legis.iowa.gov/docs/iac/chapter/621.621.pdf" Type="http://schemas.openxmlformats.org/officeDocument/2006/relationships/hyperlink" Id="rId29"/>
    <Relationship TargetMode="External" Target="https://www.legis.iowa.gov/docs/iac/rule/621.4.2.pdf" Type="http://schemas.openxmlformats.org/officeDocument/2006/relationships/hyperlink" Id="rId30"/>
    <Relationship TargetMode="External" Target="https://www.legis.iowa.gov/docs/iac/rule/621.4.6.pdf" Type="http://schemas.openxmlformats.org/officeDocument/2006/relationships/hyperlink" Id="rId31"/>
    <Relationship TargetMode="External" Target="https://www.legis.iowa.gov/docs/iac/chapter/621.2.pdf" Type="http://schemas.openxmlformats.org/officeDocument/2006/relationships/hyperlink" Id="rId32"/>
    <Relationship TargetMode="External" Target="https://www.legis.iowa.gov/docs/ico/chapter/273.pdf" Type="http://schemas.openxmlformats.org/officeDocument/2006/relationships/hyperlink" Id="rId33"/>
    <Relationship TargetMode="External" Target="https://www.legis.iowa.gov/docs/ico/chapter/275.pdf" Type="http://schemas.openxmlformats.org/officeDocument/2006/relationships/hyperlink" Id="rId34"/>
    <Relationship TargetMode="External" Target="https://www.legis.iowa.gov/docs/ico/chapter/20.pdf" Type="http://schemas.openxmlformats.org/officeDocument/2006/relationships/hyperlink" Id="rId35"/>
    <Relationship TargetMode="External" Target="https://www.legis.iowa.gov/docs/iac/rule/621.4.2.pdf" Type="http://schemas.openxmlformats.org/officeDocument/2006/relationships/hyperlink" Id="rId36"/>
    <Relationship TargetMode="External" Target="https://www.legis.iowa.gov/docs/ico/chapter/273.pdf" Type="http://schemas.openxmlformats.org/officeDocument/2006/relationships/hyperlink" Id="rId37"/>
    <Relationship TargetMode="External" Target="https://www.legis.iowa.gov/docs/ico/chapter/275.pdf" Type="http://schemas.openxmlformats.org/officeDocument/2006/relationships/hyperlink" Id="rId38"/>
    <Relationship TargetMode="External" Target="https://www.legis.iowa.gov/docs/ico/chapter/20.pdf" Type="http://schemas.openxmlformats.org/officeDocument/2006/relationships/hyperlink" Id="rId39"/>
    <Relationship TargetMode="External" Target="https://www.legis.iowa.gov/docs/ico/chapter/20.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