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PROHIBITED PRACTICE PROCEEDINGS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621—3.1</w:t>
      </w:r>
      <w:r>
        <w:rPr>
          <w:rFonts w:ascii="Times New Roman" w:hAnsi="Times New Roman"/>
          <w:b/>
          <w:i w:val="false"/>
          <w:color w:val="000000"/>
          <w:sz w:val="22"/>
        </w:rPr>
        <w:t xml:space="preserve">(20) </w:t>
      </w:r>
      <w:r>
        <w:rPr>
          <w:rFonts w:ascii="Times New Roman" w:hAnsi="Times New Roman"/>
          <w:b/>
          <w:i w:val="false"/>
          <w:color w:val="000000"/>
          <w:sz w:val="22"/>
        </w:rPr>
        <w:t xml:space="preserve">Filing of complaint. </w:t>
      </w:r>
      <w:r>
        <w:rPr>
          <w:rFonts w:ascii="Times New Roman" w:hAnsi="Times New Roman"/>
          <w:b w:val="false"/>
          <w:i w:val="false"/>
          <w:color w:val="000000"/>
          <w:sz w:val="22"/>
        </w:rPr>
        <w:t xml:space="preserve">A complaint that any public employer, public employee or employee organization has committed a prohibited practice within the meaning of Iowa Code section </w:t>
      </w:r>
      <w:hyperlink r:id="rId5">
        <w:r>
          <w:rPr>
            <w:rStyle w:val="Hyperlink"/>
            <w:rFonts w:ascii="Times New Roman" w:hAnsi="Times New Roman"/>
            <w:b w:val="false"/>
            <w:i w:val="false"/>
            <w:color w:val="000000"/>
            <w:sz w:val="22"/>
          </w:rPr>
          <w:t>20.10(1)</w:t>
        </w:r>
      </w:hyperlink>
      <w:r>
        <w:rPr>
          <w:rFonts w:ascii="Times New Roman" w:hAnsi="Times New Roman"/>
          <w:b w:val="false"/>
          <w:i w:val="false"/>
          <w:color w:val="000000"/>
          <w:sz w:val="22"/>
        </w:rPr>
        <w:t xml:space="preserve">, that any public employer or the employer’s designated representative has committed a prohibited practice within the meaning of Iowa Code section </w:t>
      </w:r>
      <w:hyperlink r:id="rId6">
        <w:r>
          <w:rPr>
            <w:rStyle w:val="Hyperlink"/>
            <w:rFonts w:ascii="Times New Roman" w:hAnsi="Times New Roman"/>
            <w:b w:val="false"/>
            <w:i w:val="false"/>
            <w:color w:val="000000"/>
            <w:sz w:val="22"/>
          </w:rPr>
          <w:t>20.10(2)</w:t>
        </w:r>
      </w:hyperlink>
      <w:r>
        <w:rPr>
          <w:rFonts w:ascii="Times New Roman" w:hAnsi="Times New Roman"/>
          <w:b w:val="false"/>
          <w:i w:val="false"/>
          <w:color w:val="000000"/>
          <w:sz w:val="22"/>
        </w:rPr>
        <w:t xml:space="preserve">, or that any public employee, employee organization, person, union or organization or its agents have committed a prohibited practice within the meaning of Iowa Code section </w:t>
      </w:r>
      <w:hyperlink r:id="rId7">
        <w:r>
          <w:rPr>
            <w:rStyle w:val="Hyperlink"/>
            <w:rFonts w:ascii="Times New Roman" w:hAnsi="Times New Roman"/>
            <w:b w:val="false"/>
            <w:i w:val="false"/>
            <w:color w:val="000000"/>
            <w:sz w:val="22"/>
          </w:rPr>
          <w:t>20.10(3)</w:t>
        </w:r>
      </w:hyperlink>
      <w:r>
        <w:rPr>
          <w:rFonts w:ascii="Times New Roman" w:hAnsi="Times New Roman"/>
          <w:b w:val="false"/>
          <w:i w:val="false"/>
          <w:color w:val="000000"/>
          <w:sz w:val="22"/>
        </w:rPr>
        <w:t xml:space="preserve"> may be filed with the agency by any person, employee organization or public employer with standing within 90 days following the alleged commission of the prohibited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621—3.2</w:t>
      </w:r>
      <w:r>
        <w:rPr>
          <w:rFonts w:ascii="Times New Roman" w:hAnsi="Times New Roman"/>
          <w:b/>
          <w:i w:val="false"/>
          <w:color w:val="000000"/>
          <w:sz w:val="22"/>
        </w:rPr>
        <w:t xml:space="preserve">(20) </w:t>
      </w:r>
      <w:r>
        <w:rPr>
          <w:rFonts w:ascii="Times New Roman" w:hAnsi="Times New Roman"/>
          <w:b/>
          <w:i w:val="false"/>
          <w:color w:val="000000"/>
          <w:sz w:val="22"/>
        </w:rPr>
        <w:t xml:space="preserve">Contents of complaint. </w:t>
      </w:r>
      <w:r>
        <w:rPr>
          <w:rFonts w:ascii="Times New Roman" w:hAnsi="Times New Roman"/>
          <w:b w:val="false"/>
          <w:i w:val="false"/>
          <w:color w:val="000000"/>
          <w:sz w:val="22"/>
        </w:rPr>
        <w:t>The complaint, which may utilize the form available from the board’s Web site, shall be in writing, shall be signed by the complainant or its designated representative,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complainant, and, if filed by the complainant’s designated representative, the name, title, telephone number and e-mail address of that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respondent(s) alleged to have committed the prohibited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and concise statement of the facts constituting the alleged prohibited practice, including the names of the individuals involved in the alleged act(s), the date(s) and place(s) of the alleged act(s), and the specific subsection(s) and paragraph(s) of Iowa Code section </w:t>
      </w:r>
      <w:hyperlink r:id="rId8">
        <w:r>
          <w:rPr>
            <w:rStyle w:val="Hyperlink"/>
            <w:rFonts w:ascii="Times New Roman" w:hAnsi="Times New Roman"/>
            <w:b w:val="false"/>
            <w:i w:val="false"/>
            <w:color w:val="000000"/>
            <w:sz w:val="22"/>
          </w:rPr>
          <w:t>20.10</w:t>
        </w:r>
      </w:hyperlink>
      <w:r>
        <w:rPr>
          <w:rFonts w:ascii="Times New Roman" w:hAnsi="Times New Roman"/>
          <w:b w:val="false"/>
          <w:i w:val="false"/>
          <w:color w:val="000000"/>
          <w:sz w:val="22"/>
        </w:rPr>
        <w:t xml:space="preserve"> alleged to have been violated.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621—3.3</w:t>
      </w:r>
      <w:r>
        <w:rPr>
          <w:rFonts w:ascii="Times New Roman" w:hAnsi="Times New Roman"/>
          <w:b/>
          <w:i w:val="false"/>
          <w:color w:val="000000"/>
          <w:sz w:val="22"/>
        </w:rPr>
        <w:t xml:space="preserve">(20) </w:t>
      </w:r>
      <w:r>
        <w:rPr>
          <w:rFonts w:ascii="Times New Roman" w:hAnsi="Times New Roman"/>
          <w:b/>
          <w:i w:val="false"/>
          <w:color w:val="000000"/>
          <w:sz w:val="22"/>
        </w:rPr>
        <w:t xml:space="preserve">Clarification of complaint. </w:t>
      </w:r>
      <w:r>
        <w:rPr>
          <w:rFonts w:ascii="Times New Roman" w:hAnsi="Times New Roman"/>
          <w:b w:val="false"/>
          <w:i w:val="false"/>
          <w:color w:val="000000"/>
          <w:sz w:val="22"/>
        </w:rPr>
        <w:t>Although compliance with technical rules of pleading is not required, the agency may, on either its own motion or motion of the respondent, require the complainant to make the complaint more specific.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621—3.4</w:t>
      </w:r>
      <w:r>
        <w:rPr>
          <w:rFonts w:ascii="Times New Roman" w:hAnsi="Times New Roman"/>
          <w:b/>
          <w:i w:val="false"/>
          <w:color w:val="000000"/>
          <w:sz w:val="22"/>
        </w:rPr>
        <w:t xml:space="preserve">(20) </w:t>
      </w:r>
      <w:r>
        <w:rPr>
          <w:rFonts w:ascii="Times New Roman" w:hAnsi="Times New Roman"/>
          <w:b/>
          <w:i w:val="false"/>
          <w:color w:val="000000"/>
          <w:sz w:val="22"/>
        </w:rPr>
        <w:t xml:space="preserve">Service of complaint. </w:t>
      </w:r>
      <w:r>
        <w:rPr>
          <w:rFonts w:ascii="Times New Roman" w:hAnsi="Times New Roman"/>
          <w:b w:val="false"/>
          <w:i w:val="false"/>
          <w:color w:val="000000"/>
          <w:sz w:val="22"/>
        </w:rPr>
        <w:t xml:space="preserve">The complainant shall, within a reasonable time following the filing of a complaint, serve all named respondents with a copy of the complaint in the manner of an original notice or by certified mail, return receipt requested, together with an agency-approved information sheet regarding mandatory electronic filing. Such service shall be upon the person(s) designated for service by </w:t>
      </w:r>
      <w:hyperlink r:id="rId9">
        <w:r>
          <w:rPr>
            <w:rStyle w:val="Hyperlink"/>
            <w:rFonts w:ascii="Times New Roman" w:hAnsi="Times New Roman"/>
            <w:b w:val="false"/>
            <w:i w:val="false"/>
            <w:color w:val="000000"/>
            <w:sz w:val="22"/>
          </w:rPr>
          <w:t>621—subrule 2.15(1)</w:t>
        </w:r>
      </w:hyperlink>
      <w:r>
        <w:rPr>
          <w:rFonts w:ascii="Times New Roman" w:hAnsi="Times New Roman"/>
          <w:b w:val="false"/>
          <w:i w:val="false"/>
          <w:color w:val="000000"/>
          <w:sz w:val="22"/>
        </w:rPr>
        <w:t xml:space="preserve">, and the complainant shall file proof thereof with the agency in accordance with </w:t>
      </w:r>
      <w:hyperlink r:id="rId10">
        <w:r>
          <w:rPr>
            <w:rStyle w:val="Hyperlink"/>
            <w:rFonts w:ascii="Times New Roman" w:hAnsi="Times New Roman"/>
            <w:b w:val="false"/>
            <w:i w:val="false"/>
            <w:color w:val="000000"/>
            <w:sz w:val="22"/>
          </w:rPr>
          <w:t>621—subrule 2.15(3)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621—subrule 16.10(1)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1583C</w:t>
      </w:r>
      <w:r>
        <w:rPr>
          <w:rFonts w:ascii="Times New Roman" w:hAnsi="Times New Roman"/>
          <w:b w:val="false"/>
          <w:i w:val="false"/>
          <w:color w:val="000000"/>
          <w:sz w:val="16"/>
        </w:rPr>
        <w:t>, IAB 8/20/14, effective 9/24/14</w:t>
      </w:r>
      <w:r>
        <w:rPr>
          <w:rFonts w:ascii="Times New Roman" w:hAnsi="Times New Roman"/>
          <w:b w:val="false"/>
          <w:i w:val="false"/>
          <w:color w:val="000000"/>
          <w:sz w:val="16"/>
        </w:rPr>
        <w:t xml:space="preserve">; </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621—3.5</w:t>
      </w:r>
      <w:r>
        <w:rPr>
          <w:rFonts w:ascii="Times New Roman" w:hAnsi="Times New Roman"/>
          <w:b/>
          <w:i w:val="false"/>
          <w:color w:val="000000"/>
          <w:sz w:val="22"/>
        </w:rPr>
        <w:t xml:space="preserve">(20) </w:t>
      </w:r>
      <w:r>
        <w:rPr>
          <w:rFonts w:ascii="Times New Roman" w:hAnsi="Times New Roman"/>
          <w:b/>
          <w:i w:val="false"/>
          <w:color w:val="000000"/>
          <w:sz w:val="22"/>
        </w:rPr>
        <w:t xml:space="preserve">Answer to complaint.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w:t>
      </w:r>
      <w:r>
        <w:rPr>
          <w:rFonts w:ascii="Times New Roman" w:hAnsi="Times New Roman"/>
          <w:b w:val="false"/>
          <w:i w:val="false"/>
          <w:color w:val="000000"/>
          <w:sz w:val="22"/>
        </w:rPr>
        <w:t xml:space="preserve">Within ten days of service of a complaint, the respondent(s) shall file with the agency an answer to the complaint. The answer shall be signed by the respondent(s) or its designated representative. The answer shall be served through the electronic document management system unless the respondent is exempted from electronic filing in the proceeding, in which case service shall be in accordance with </w:t>
      </w:r>
      <w:hyperlink r:id="rId12">
        <w:r>
          <w:rPr>
            <w:rStyle w:val="Hyperlink"/>
            <w:rFonts w:ascii="Times New Roman" w:hAnsi="Times New Roman"/>
            <w:b w:val="false"/>
            <w:i w:val="false"/>
            <w:color w:val="000000"/>
            <w:sz w:val="22"/>
          </w:rPr>
          <w:t>621—subrules 2.15(2)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2.15(3)</w:t>
        </w:r>
      </w:hyperlink>
      <w:r>
        <w:rPr>
          <w:rFonts w:ascii="Times New Roman" w:hAnsi="Times New Roman"/>
          <w:b w:val="false"/>
          <w:i w:val="false"/>
          <w:color w:val="000000"/>
          <w:sz w:val="22"/>
        </w:rPr>
        <w:t>, and upon the person who signed the complaint being answered.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answer. </w:t>
      </w:r>
      <w:r>
        <w:rPr>
          <w:rFonts w:ascii="Times New Roman" w:hAnsi="Times New Roman"/>
          <w:b w:val="false"/>
          <w:i w:val="false"/>
          <w:color w:val="000000"/>
          <w:sz w:val="22"/>
        </w:rPr>
        <w:t>The parties may agree to an extension of the time to answer and shall inform the agency of their agreement, or the board may, upon application and good cause shown, extend the time to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Contents of answer. </w:t>
      </w:r>
      <w:r>
        <w:rPr>
          <w:rFonts w:ascii="Times New Roman" w:hAnsi="Times New Roman"/>
          <w:b w:val="false"/>
          <w:i w:val="false"/>
          <w:color w:val="000000"/>
          <w:sz w:val="22"/>
        </w:rPr>
        <w:t>The answer shall specifically admit or deny each allegation of the complaint and may set forth additional facts deemed to constitute a defense. If the respondent is without knowledge sufficient to make an admission or denial concerning an allegation, the answer shall so state and such statement shall operate as a denial. Admissions or denials may be made to all or part of an allegation but shall fairly meet the substance of the allegation. Additional facts set forth in the answer shall be deemed denied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Admission by failure to answer. </w:t>
      </w:r>
      <w:r>
        <w:rPr>
          <w:rFonts w:ascii="Times New Roman" w:hAnsi="Times New Roman"/>
          <w:b w:val="false"/>
          <w:i w:val="false"/>
          <w:color w:val="000000"/>
          <w:sz w:val="22"/>
        </w:rPr>
        <w:t>If the respondent fails to file a timely answer, such failure may be deemed by the board to constitute an admission of the material facts alleged in the complaint and a waiver of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621—3.6</w:t>
      </w:r>
      <w:r>
        <w:rPr>
          <w:rFonts w:ascii="Times New Roman" w:hAnsi="Times New Roman"/>
          <w:b/>
          <w:i w:val="false"/>
          <w:color w:val="000000"/>
          <w:sz w:val="22"/>
        </w:rPr>
        <w:t xml:space="preserve">(20) </w:t>
      </w:r>
      <w:r>
        <w:rPr>
          <w:rFonts w:ascii="Times New Roman" w:hAnsi="Times New Roman"/>
          <w:b/>
          <w:i w:val="false"/>
          <w:color w:val="000000"/>
          <w:sz w:val="22"/>
        </w:rPr>
        <w:t xml:space="preserve">Voluntary dismissal or withdrawal of complaint. </w:t>
      </w:r>
      <w:r>
        <w:rPr>
          <w:rFonts w:ascii="Times New Roman" w:hAnsi="Times New Roman"/>
          <w:b w:val="false"/>
          <w:i w:val="false"/>
          <w:color w:val="000000"/>
          <w:sz w:val="22"/>
        </w:rPr>
        <w:t>At any time prior to the issuance of a proposed decision (or final decision if heard originally by the board), a complaint or any part thereof may be voluntarily dismissed by the complainant. Following the issuance of a proposed decision, but before the proposed decision becomes the agency’s final decision, complaints may be withdrawn only with the consent of the board and upon conditions the board deems proper.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621—3.7</w:t>
      </w:r>
      <w:r>
        <w:rPr>
          <w:rFonts w:ascii="Times New Roman" w:hAnsi="Times New Roman"/>
          <w:b/>
          <w:i w:val="false"/>
          <w:color w:val="000000"/>
          <w:sz w:val="22"/>
        </w:rPr>
        <w:t xml:space="preserve">(20) </w:t>
      </w:r>
      <w:r>
        <w:rPr>
          <w:rFonts w:ascii="Times New Roman" w:hAnsi="Times New Roman"/>
          <w:b/>
          <w:i w:val="false"/>
          <w:color w:val="000000"/>
          <w:sz w:val="22"/>
        </w:rPr>
        <w:t xml:space="preserve">Amendment of complaint or answer.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12/10/14</w:t>
      </w:r>
      <w:r>
        <w:rPr>
          <w:rFonts w:ascii="Times New Roman" w:hAnsi="Times New Roman"/>
          <w:b w:val="false"/>
          <w:i w:val="false"/>
          <w:color w:val="000000"/>
          <w:sz w:val="22"/>
        </w:rPr>
        <w:t>, effective 1/14/15.</w:t>
      </w:r>
    </w:p>
    <w:p>
      <w:pPr>
        <w:spacing w:before="0" w:after="0"/>
        <w:ind w:left="120"/>
        <w:jc w:val="both"/>
      </w:pPr>
      <w:r>
        <w:rPr>
          <w:rFonts w:ascii="Times New Roman" w:hAnsi="Times New Roman"/>
          <w:b/>
          <w:i w:val="false"/>
          <w:color w:val="000000"/>
          <w:sz w:val="22"/>
        </w:rPr>
        <w:t>621—3.8</w:t>
      </w:r>
      <w:r>
        <w:rPr>
          <w:rFonts w:ascii="Times New Roman" w:hAnsi="Times New Roman"/>
          <w:b/>
          <w:i w:val="false"/>
          <w:color w:val="000000"/>
          <w:sz w:val="22"/>
        </w:rPr>
        <w:t xml:space="preserve">(20) </w:t>
      </w:r>
      <w:r>
        <w:rPr>
          <w:rFonts w:ascii="Times New Roman" w:hAnsi="Times New Roman"/>
          <w:b/>
          <w:i w:val="false"/>
          <w:color w:val="000000"/>
          <w:sz w:val="22"/>
        </w:rPr>
        <w:t xml:space="preserve">Investigation of complaint. </w:t>
      </w:r>
      <w:r>
        <w:rPr>
          <w:rFonts w:ascii="Times New Roman" w:hAnsi="Times New Roman"/>
          <w:b w:val="false"/>
          <w:i w:val="false"/>
          <w:color w:val="000000"/>
          <w:sz w:val="22"/>
        </w:rPr>
        <w:t>The board or its designee may conduct a preliminary investigation of the allegations of any complaint. In conducting such investigation, the board may require the complainant and respondent to furnish evidence, including affidavits and other documents if appropriate. If a review of the evidence shows that the complaint has no basis in fact, the complaint may be dismissed with prejudice by the board and the parties notified. Administrative law judges involved in investigations under this rule shall not act as presiding officers in any proceeding related to the prohibited practice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621—3.9</w:t>
      </w:r>
      <w:r>
        <w:rPr>
          <w:rFonts w:ascii="Times New Roman" w:hAnsi="Times New Roman"/>
          <w:b w:val="false"/>
          <w:i w:val="false"/>
          <w:color w:val="000000"/>
          <w:sz w:val="22"/>
        </w:rPr>
        <w:t>Rescinded, effective December 22, 1976.</w:t>
      </w:r>
    </w:p>
    <w:p>
      <w:pPr>
        <w:spacing w:before="210" w:after="0"/>
        <w:ind w:left="120"/>
        <w:jc w:val="both"/>
      </w:pPr>
      <w:r>
        <w:rPr>
          <w:rFonts w:ascii="Times New Roman" w:hAnsi="Times New Roman"/>
          <w:b/>
          <w:i w:val="false"/>
          <w:color w:val="000000"/>
          <w:sz w:val="22"/>
        </w:rPr>
        <w:t>621—3.10</w:t>
      </w:r>
      <w:r>
        <w:rPr>
          <w:rFonts w:ascii="Times New Roman" w:hAnsi="Times New Roman"/>
          <w:b/>
          <w:i w:val="false"/>
          <w:color w:val="000000"/>
          <w:sz w:val="22"/>
        </w:rPr>
        <w:t xml:space="preserve">(20) </w:t>
      </w:r>
      <w:r>
        <w:rPr>
          <w:rFonts w:ascii="Times New Roman" w:hAnsi="Times New Roman"/>
          <w:b/>
          <w:i w:val="false"/>
          <w:color w:val="000000"/>
          <w:sz w:val="22"/>
        </w:rPr>
        <w:t xml:space="preserve">Informal disposition.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12/10/14</w:t>
      </w:r>
      <w:r>
        <w:rPr>
          <w:rFonts w:ascii="Times New Roman" w:hAnsi="Times New Roman"/>
          <w:b w:val="false"/>
          <w:i w:val="false"/>
          <w:color w:val="000000"/>
          <w:sz w:val="22"/>
        </w:rPr>
        <w:t>, effective 1/14/15.</w:t>
      </w:r>
    </w:p>
    <w:p>
      <w:pPr>
        <w:spacing w:before="210" w:after="0"/>
        <w:ind w:left="120"/>
        <w:jc w:val="both"/>
      </w:pPr>
      <w:r>
        <w:rPr>
          <w:rFonts w:ascii="Times New Roman" w:hAnsi="Times New Roman"/>
          <w:b/>
          <w:i w:val="false"/>
          <w:color w:val="000000"/>
          <w:sz w:val="22"/>
        </w:rPr>
        <w:t>621—3.11</w:t>
      </w:r>
      <w:r>
        <w:rPr>
          <w:rFonts w:ascii="Times New Roman" w:hAnsi="Times New Roman"/>
          <w:b/>
          <w:i w:val="false"/>
          <w:color w:val="000000"/>
          <w:sz w:val="22"/>
        </w:rPr>
        <w:t xml:space="preserve">(20) </w:t>
      </w:r>
      <w:r>
        <w:rPr>
          <w:rFonts w:ascii="Times New Roman" w:hAnsi="Times New Roman"/>
          <w:b/>
          <w:i w:val="false"/>
          <w:color w:val="000000"/>
          <w:sz w:val="22"/>
        </w:rPr>
        <w:t xml:space="preserve">Evidence of settlement negotiations.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1773C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12/10/14</w:t>
      </w:r>
      <w:r>
        <w:rPr>
          <w:rFonts w:ascii="Times New Roman" w:hAnsi="Times New Roman"/>
          <w:b w:val="false"/>
          <w:i w:val="false"/>
          <w:color w:val="000000"/>
          <w:sz w:val="22"/>
        </w:rPr>
        <w:t>, effective 1/14/15.</w:t>
      </w:r>
    </w:p>
    <w:p>
      <w:pPr>
        <w:spacing w:before="0" w:after="0"/>
        <w:ind w:left="120"/>
        <w:jc w:val="both"/>
      </w:pPr>
      <w:r>
        <w:rPr>
          <w:rFonts w:ascii="Times New Roman" w:hAnsi="Times New Roman"/>
          <w:b/>
          <w:i w:val="false"/>
          <w:color w:val="000000"/>
          <w:sz w:val="22"/>
        </w:rPr>
        <w:t>621—3.12</w:t>
      </w:r>
      <w:r>
        <w:rPr>
          <w:rFonts w:ascii="Times New Roman" w:hAnsi="Times New Roman"/>
          <w:b/>
          <w:i w:val="false"/>
          <w:color w:val="000000"/>
          <w:sz w:val="22"/>
        </w:rPr>
        <w:t xml:space="preserve">(20) </w:t>
      </w:r>
      <w:r>
        <w:rPr>
          <w:rFonts w:ascii="Times New Roman" w:hAnsi="Times New Roman"/>
          <w:b/>
          <w:i w:val="false"/>
          <w:color w:val="000000"/>
          <w:sz w:val="22"/>
        </w:rPr>
        <w:t xml:space="preserve">Costs of certified shorthand reporters and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color w:val="000000"/>
          <w:sz w:val="22"/>
        </w:rPr>
        <w:t xml:space="preserve">Initial payment. </w:t>
      </w:r>
      <w:r>
        <w:rPr>
          <w:rFonts w:ascii="Times New Roman" w:hAnsi="Times New Roman"/>
          <w:b w:val="false"/>
          <w:i w:val="false"/>
          <w:color w:val="000000"/>
          <w:sz w:val="22"/>
        </w:rPr>
        <w:t>The agency will arrange for a certified shorthand reporter to report the contested case hearing and request that an original transcript of the hearing be prepared by the reporter for the agency’s use. The agency initially shall pay the reporter’s reasonable compensation for reporting the hearing and producing the agency-requested transcript.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color w:val="000000"/>
          <w:sz w:val="22"/>
        </w:rPr>
        <w:t xml:space="preserve">Taxation as costs. </w:t>
      </w:r>
      <w:r>
        <w:rPr>
          <w:rFonts w:ascii="Times New Roman" w:hAnsi="Times New Roman"/>
          <w:b w:val="false"/>
          <w:i w:val="false"/>
          <w:color w:val="000000"/>
          <w:sz w:val="22"/>
        </w:rPr>
        <w:t>The cost of reporting and of the agency-requested transcript shall be taxed as costs against the nonprevailing party or parties although the presiding officer, or the board on appeal or review of a proposed decision and order, may apportion such costs in another manner if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color w:val="000000"/>
          <w:sz w:val="22"/>
        </w:rPr>
        <w:t xml:space="preserve">Payment of taxed costs. </w:t>
      </w:r>
      <w:r>
        <w:rPr>
          <w:rFonts w:ascii="Times New Roman" w:hAnsi="Times New Roman"/>
          <w:b w:val="false"/>
          <w:i w:val="false"/>
          <w:color w:val="000000"/>
          <w:sz w:val="22"/>
        </w:rPr>
        <w:t xml:space="preserve">Following final agency action in a case, the agency will prepare and serve a bill of costs upon the party or parties against whom the costs have been taxed. Those parties shall, within 30 days of such service, remit to the agency the amount specified in the bill of costs. Sums remitted to the agency shall be considered repayment receipts as defined in Iowa Code section </w:t>
      </w:r>
      <w:hyperlink r:id="rId1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1773C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3/4/75]</w:t>
      </w:r>
    </w:p>
    <w:p>
      <w:pPr>
        <w:spacing w:before="0" w:after="0"/>
        <w:ind w:left="120"/>
        <w:jc w:val="center"/>
      </w:pPr>
      <w:r>
        <w:rPr>
          <w:rFonts w:ascii="Times New Roman" w:hAnsi="Times New Roman"/>
          <w:b w:val="false"/>
          <w:i w:val="false"/>
          <w:color w:val="000000"/>
          <w:sz w:val="21"/>
        </w:rPr>
        <w:t>[Filed 10/29/76, Notice 9/22/76—published 11/17/76, effective 12/22/76]</w:t>
      </w:r>
    </w:p>
    <w:p>
      <w:pPr>
        <w:spacing w:before="0" w:after="0"/>
        <w:ind w:left="120"/>
        <w:jc w:val="center"/>
      </w:pPr>
      <w:r>
        <w:rPr>
          <w:rFonts w:ascii="Times New Roman" w:hAnsi="Times New Roman"/>
          <w:b w:val="false"/>
          <w:i w:val="false"/>
          <w:color w:val="000000"/>
          <w:sz w:val="21"/>
        </w:rPr>
        <w:t>[Filed 10/26/77, Notice 9/21/77—published 11/16/77, effective 12/21/77]</w:t>
      </w:r>
    </w:p>
    <w:p>
      <w:pPr>
        <w:spacing w:before="0" w:after="0"/>
        <w:ind w:left="120"/>
        <w:jc w:val="center"/>
      </w:pPr>
      <w:r>
        <w:rPr>
          <w:rFonts w:ascii="Times New Roman" w:hAnsi="Times New Roman"/>
          <w:b w:val="false"/>
          <w:i w:val="false"/>
          <w:color w:val="000000"/>
          <w:sz w:val="21"/>
        </w:rPr>
        <w:t>[Filed 11/7/80, Notice 9/17/80—published 11/26/80, effective 12/31/80]</w:t>
      </w:r>
    </w:p>
    <w:p>
      <w:pPr>
        <w:spacing w:before="0" w:after="0"/>
        <w:ind w:left="120"/>
        <w:jc w:val="center"/>
      </w:pPr>
      <w:r>
        <w:rPr>
          <w:rFonts w:ascii="Times New Roman" w:hAnsi="Times New Roman"/>
          <w:b w:val="false"/>
          <w:i w:val="false"/>
          <w:color w:val="000000"/>
          <w:sz w:val="21"/>
        </w:rPr>
        <w:t>[Filed emergency 7/23/85—published 8/14/85, effective 7/23/85]</w:t>
      </w:r>
    </w:p>
    <w:p>
      <w:pPr>
        <w:spacing w:before="0" w:after="0"/>
        <w:ind w:left="120"/>
        <w:jc w:val="center"/>
      </w:pPr>
      <w:r>
        <w:rPr>
          <w:rFonts w:ascii="Times New Roman" w:hAnsi="Times New Roman"/>
          <w:b w:val="false"/>
          <w:i w:val="false"/>
          <w:color w:val="000000"/>
          <w:sz w:val="21"/>
        </w:rPr>
        <w:t>[Filed 10/9/86, Notice 8/27/86—published 11/5/86, effective 12/10/86]</w:t>
      </w:r>
    </w:p>
    <w:p>
      <w:pPr>
        <w:spacing w:before="0" w:after="0"/>
        <w:ind w:left="120"/>
        <w:jc w:val="center"/>
      </w:pPr>
      <w:r>
        <w:rPr>
          <w:rFonts w:ascii="Times New Roman" w:hAnsi="Times New Roman"/>
          <w:b w:val="false"/>
          <w:i w:val="false"/>
          <w:color w:val="000000"/>
          <w:sz w:val="21"/>
        </w:rPr>
        <w:t>Filed 2/1/89, Notice 12/28/88—published 2/22/89, effective 3/30/89]</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ARC 1583C</w:t>
      </w:r>
      <w:r>
        <w:rPr>
          <w:rFonts w:ascii="Times New Roman" w:hAnsi="Times New Roman"/>
          <w:b w:val="false"/>
          <w:i w:val="false"/>
          <w:color w:val="000000"/>
          <w:sz w:val="21"/>
        </w:rPr>
        <w:t xml:space="preserve"> (Notice ARC 1507C, IAB 6/25/14)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1773C</w:t>
      </w:r>
      <w:r>
        <w:rPr>
          <w:rFonts w:ascii="Times New Roman" w:hAnsi="Times New Roman"/>
          <w:b w:val="false"/>
          <w:i w:val="false"/>
          <w:color w:val="000000"/>
          <w:sz w:val="21"/>
        </w:rPr>
        <w:t xml:space="preserve"> (Notice ARC 1670C, IAB 10/15/14)</w:t>
      </w:r>
      <w:r>
        <w:rPr>
          <w:rFonts w:ascii="Times New Roman" w:hAnsi="Times New Roman"/>
          <w:b w:val="false"/>
          <w:i w:val="false"/>
          <w:color w:val="000000"/>
          <w:sz w:val="21"/>
        </w:rPr>
        <w:t>, IAB 12/10/14, effective 1/14/15]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10.pdf" Type="http://schemas.openxmlformats.org/officeDocument/2006/relationships/hyperlink" Id="rId5"/>
    <Relationship TargetMode="External" Target="https://www.legis.iowa.gov/docs/ico/chapter/20.10.pdf" Type="http://schemas.openxmlformats.org/officeDocument/2006/relationships/hyperlink" Id="rId6"/>
    <Relationship TargetMode="External" Target="https://www.legis.iowa.gov/docs/ico/chapter/20.10.pdf" Type="http://schemas.openxmlformats.org/officeDocument/2006/relationships/hyperlink" Id="rId7"/>
    <Relationship TargetMode="External" Target="https://www.legis.iowa.gov/docs/ico/chapter/20.10.pdf" Type="http://schemas.openxmlformats.org/officeDocument/2006/relationships/hyperlink" Id="rId8"/>
    <Relationship TargetMode="External" Target="https://www.legis.iowa.gov/docs/iac/rule/621.2.15.pdf" Type="http://schemas.openxmlformats.org/officeDocument/2006/relationships/hyperlink" Id="rId9"/>
    <Relationship TargetMode="External" Target="https://www.legis.iowa.gov/docs/iac/rule/621.2.15.pdf" Type="http://schemas.openxmlformats.org/officeDocument/2006/relationships/hyperlink" Id="rId10"/>
    <Relationship TargetMode="External" Target="https://www.legis.iowa.gov/docs/iac/rule/621.16.10.pdf" Type="http://schemas.openxmlformats.org/officeDocument/2006/relationships/hyperlink" Id="rId11"/>
    <Relationship TargetMode="External" Target="https://www.legis.iowa.gov/docs/iac/rule/621.2.15.pdf" Type="http://schemas.openxmlformats.org/officeDocument/2006/relationships/hyperlink" Id="rId12"/>
    <Relationship TargetMode="External" Target="https://www.legis.iowa.gov/docs/iac/rule/621.2.15.pdf" Type="http://schemas.openxmlformats.org/officeDocument/2006/relationships/hyperlink" Id="rId13"/>
    <Relationship TargetMode="External" Target="https://www.legis.iowa.gov/docs/ico/chapter/8.2.pdf" Type="http://schemas.openxmlformats.org/officeDocument/2006/relationships/hyperlink" Id="rId14"/>
    <Relationship TargetMode="External" Target="https://www.legis.iowa.gov/docs/ico/chapter/2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