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STATE EMPLOYEE WHISTLEBLOWER ACTIONS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621—17.1</w:t>
      </w:r>
      <w:r>
        <w:rPr>
          <w:rFonts w:ascii="Times New Roman" w:hAnsi="Times New Roman"/>
          <w:b/>
          <w:i w:val="false"/>
          <w:color w:val="000000"/>
          <w:sz w:val="22"/>
        </w:rPr>
        <w:t xml:space="preserve">(20,70A) </w:t>
      </w:r>
      <w:r>
        <w:rPr>
          <w:rFonts w:ascii="Times New Roman" w:hAnsi="Times New Roman"/>
          <w:b/>
          <w:i w:val="false"/>
          <w:color w:val="000000"/>
          <w:sz w:val="22"/>
        </w:rPr>
        <w:t xml:space="preserve">Notice of appeal rights. </w:t>
      </w:r>
      <w:r>
        <w:rPr>
          <w:rFonts w:ascii="Times New Roman" w:hAnsi="Times New Roman"/>
          <w:b w:val="false"/>
          <w:i w:val="false"/>
          <w:color w:val="000000"/>
          <w:sz w:val="22"/>
        </w:rPr>
        <w:t xml:space="preserve">A state executive branch employee, except a merit system employee or an employee covered by a collective bargaining agreement, may file an appeal with the public employment relations board for adverse employment action taken as a result of the employee’s disclosure of information protected by Iowa Code section </w:t>
      </w:r>
      <w:hyperlink r:id="rId5">
        <w:r>
          <w:rPr>
            <w:rStyle w:val="Hyperlink"/>
            <w:rFonts w:ascii="Times New Roman" w:hAnsi="Times New Roman"/>
            <w:b w:val="false"/>
            <w:i w:val="false"/>
            <w:color w:val="000000"/>
            <w:sz w:val="22"/>
          </w:rPr>
          <w:t>70A.28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621—17.2</w:t>
      </w:r>
      <w:r>
        <w:rPr>
          <w:rFonts w:ascii="Times New Roman" w:hAnsi="Times New Roman"/>
          <w:b/>
          <w:i w:val="false"/>
          <w:color w:val="000000"/>
          <w:sz w:val="22"/>
        </w:rPr>
        <w:t xml:space="preserve">(20,70A) </w:t>
      </w:r>
      <w:r>
        <w:rPr>
          <w:rFonts w:ascii="Times New Roman" w:hAnsi="Times New Roman"/>
          <w:b/>
          <w:i w:val="false"/>
          <w:color w:val="000000"/>
          <w:sz w:val="22"/>
        </w:rPr>
        <w:t xml:space="preserve">Filing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color w:val="000000"/>
          <w:sz w:val="22"/>
        </w:rPr>
        <w:t xml:space="preserve">Timeline. </w:t>
      </w:r>
      <w:r>
        <w:rPr>
          <w:rFonts w:ascii="Times New Roman" w:hAnsi="Times New Roman"/>
          <w:b w:val="false"/>
          <w:i w:val="false"/>
          <w:color w:val="000000"/>
          <w:sz w:val="22"/>
        </w:rPr>
        <w:t xml:space="preserve">The employee must file the appeal within 30 calendar days following the later of the effective date of the action or the date a finding is issued to the employee by the office of ombudsman pursuant to Iowa Code section </w:t>
      </w:r>
      <w:hyperlink r:id="rId6">
        <w:r>
          <w:rPr>
            <w:rStyle w:val="Hyperlink"/>
            <w:rFonts w:ascii="Times New Roman" w:hAnsi="Times New Roman"/>
            <w:b w:val="false"/>
            <w:i w:val="false"/>
            <w:color w:val="000000"/>
            <w:sz w:val="22"/>
          </w:rPr>
          <w:t>2C.11A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color w:val="000000"/>
          <w:sz w:val="22"/>
        </w:rPr>
        <w:t xml:space="preserve">Method of filing. </w:t>
      </w:r>
      <w:r>
        <w:rPr>
          <w:rFonts w:ascii="Times New Roman" w:hAnsi="Times New Roman"/>
          <w:b w:val="false"/>
          <w:i w:val="false"/>
          <w:color w:val="000000"/>
          <w:sz w:val="22"/>
        </w:rPr>
        <w:t>Appeals shall be electronically filed pursuant to 621—Chapter 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621—17.3</w:t>
      </w:r>
      <w:r>
        <w:rPr>
          <w:rFonts w:ascii="Times New Roman" w:hAnsi="Times New Roman"/>
          <w:b/>
          <w:i w:val="false"/>
          <w:color w:val="000000"/>
          <w:sz w:val="22"/>
        </w:rPr>
        <w:t xml:space="preserve">(20,70A) </w:t>
      </w:r>
      <w:r>
        <w:rPr>
          <w:rFonts w:ascii="Times New Roman" w:hAnsi="Times New Roman"/>
          <w:b/>
          <w:i w:val="false"/>
          <w:color w:val="000000"/>
          <w:sz w:val="22"/>
        </w:rPr>
        <w:t xml:space="preserve">Service of appeal. </w:t>
      </w:r>
      <w:r>
        <w:rPr>
          <w:rFonts w:ascii="Times New Roman" w:hAnsi="Times New Roman"/>
          <w:b w:val="false"/>
          <w:i w:val="false"/>
          <w:color w:val="000000"/>
          <w:sz w:val="22"/>
        </w:rPr>
        <w:t xml:space="preserve">The agency shall serve a copy of the appeal upon the Iowa department of administrative services director (hereinafter referred to as the director) by ordinary mail in the manner specified in rules 621—2.15(20) and 621—16.10(20).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621—17.4</w:t>
      </w:r>
      <w:r>
        <w:rPr>
          <w:rFonts w:ascii="Times New Roman" w:hAnsi="Times New Roman"/>
          <w:b/>
          <w:i w:val="false"/>
          <w:color w:val="000000"/>
          <w:sz w:val="22"/>
        </w:rPr>
        <w:t xml:space="preserve">(20,70A) </w:t>
      </w:r>
      <w:r>
        <w:rPr>
          <w:rFonts w:ascii="Times New Roman" w:hAnsi="Times New Roman"/>
          <w:b/>
          <w:i w:val="false"/>
          <w:color w:val="000000"/>
          <w:sz w:val="22"/>
        </w:rPr>
        <w:t xml:space="preserve">Content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email address of the appealing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agency/department by which the appealing employee is/was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reasons for the employee’s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requested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the appealing employee’s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appealing employee or employee’s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of whether the employee requests a hearing open to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of whether the employee filed a complaint with the office of ombudsman and the date of the filing,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Completion of the State Employee Whistleblower Action Appeal Form shall constitute compliance with all of the requirements in subrule 17.4(1).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621—17.5</w:t>
      </w:r>
      <w:r>
        <w:rPr>
          <w:rFonts w:ascii="Times New Roman" w:hAnsi="Times New Roman"/>
          <w:b/>
          <w:i w:val="false"/>
          <w:color w:val="000000"/>
          <w:sz w:val="22"/>
        </w:rPr>
        <w:t xml:space="preserve">(20,70A) </w:t>
      </w:r>
      <w:r>
        <w:rPr>
          <w:rFonts w:ascii="Times New Roman" w:hAnsi="Times New Roman"/>
          <w:b/>
          <w:i w:val="false"/>
          <w:color w:val="000000"/>
          <w:sz w:val="22"/>
        </w:rPr>
        <w:t xml:space="preserve">Content of director’s response to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The director shall have 15 days from the date of service of the employee’s appeal in which to file a motion or answer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The motion or answer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of the appealing employee and the employing agency/department;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telephone number, and email address of the employing agency’s/department’s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response or answer to the employee’s appeal, which shall specifically admit or deny each allegation of the appeal and may set forth additional facts deemed to constitute a defense. If the appellee is without knowledge sufficient to make an admission or denial concerning an allegation, the answer shall so state and such statement shall operate as a denial. Admissions or denials may be made to all or part of an allegation but shall fairly meet the substance of the allegation. Additional facts set forth in the answer shall be deemed denied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employing agency’s/department’s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val="false"/>
          <w:color w:val="000000"/>
          <w:sz w:val="22"/>
        </w:rPr>
        <w:t>The director’s motion or answer shall be electronically filed pursuant to 621—Chapter 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621—17.6</w:t>
      </w:r>
      <w:r>
        <w:rPr>
          <w:rFonts w:ascii="Times New Roman" w:hAnsi="Times New Roman"/>
          <w:b/>
          <w:i w:val="false"/>
          <w:color w:val="000000"/>
          <w:sz w:val="22"/>
        </w:rPr>
        <w:t xml:space="preserve">(20,70A) </w:t>
      </w:r>
      <w:r>
        <w:rPr>
          <w:rFonts w:ascii="Times New Roman" w:hAnsi="Times New Roman"/>
          <w:b/>
          <w:i w:val="false"/>
          <w:color w:val="000000"/>
          <w:sz w:val="22"/>
        </w:rPr>
        <w:t xml:space="preserve">Right to a hearing. </w:t>
      </w:r>
      <w:r>
        <w:rPr>
          <w:rFonts w:ascii="Times New Roman" w:hAnsi="Times New Roman"/>
          <w:b w:val="false"/>
          <w:i w:val="false"/>
          <w:color w:val="000000"/>
          <w:sz w:val="22"/>
        </w:rPr>
        <w:t xml:space="preserve">An employee appealing adverse employment action pursuant to Iowa Code section </w:t>
      </w:r>
      <w:hyperlink r:id="rId7">
        <w:r>
          <w:rPr>
            <w:rStyle w:val="Hyperlink"/>
            <w:rFonts w:ascii="Times New Roman" w:hAnsi="Times New Roman"/>
            <w:b w:val="false"/>
            <w:i w:val="false"/>
            <w:color w:val="000000"/>
            <w:sz w:val="22"/>
          </w:rPr>
          <w:t>70A.28</w:t>
        </w:r>
      </w:hyperlink>
      <w:r>
        <w:rPr>
          <w:rFonts w:ascii="Times New Roman" w:hAnsi="Times New Roman"/>
          <w:b w:val="false"/>
          <w:i w:val="false"/>
          <w:color w:val="000000"/>
          <w:sz w:val="22"/>
        </w:rPr>
        <w:t xml:space="preserve"> has a right to a hearing which is closed to the public unless the employee requests a hearing open to the public. Hearings will otherwise be conducted in accordance with 621—Chapter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621—17.7</w:t>
      </w:r>
      <w:r>
        <w:rPr>
          <w:rFonts w:ascii="Times New Roman" w:hAnsi="Times New Roman"/>
          <w:b/>
          <w:i w:val="false"/>
          <w:color w:val="000000"/>
          <w:sz w:val="22"/>
        </w:rPr>
        <w:t xml:space="preserve">(20,70A)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val="false"/>
          <w:color w:val="000000"/>
          <w:sz w:val="22"/>
        </w:rPr>
        <w:t>When a majority of the board presides at the reception of the evidence in a state employee whistleblower action proceeding, the decision of the board is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val="false"/>
          <w:color w:val="000000"/>
          <w:sz w:val="22"/>
        </w:rPr>
        <w:t>When a majority of the board does not preside at the reception of the evidence in a state employee whistleblower action proceeding, the presiding officer shall make a proposed decision that becomes the final decision of the agency without further proceedings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an appeal to the board filed within 20 days of the filing of the proposed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within 20 days of the filing of the proposed decision, determines to review the decision on its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621—17.8</w:t>
      </w:r>
      <w:r>
        <w:rPr>
          <w:rFonts w:ascii="Times New Roman" w:hAnsi="Times New Roman"/>
          <w:b/>
          <w:i w:val="false"/>
          <w:color w:val="000000"/>
          <w:sz w:val="22"/>
        </w:rPr>
        <w:t xml:space="preserve">(20,70A) </w:t>
      </w:r>
      <w:r>
        <w:rPr>
          <w:rFonts w:ascii="Times New Roman" w:hAnsi="Times New Roman"/>
          <w:b/>
          <w:i w:val="false"/>
          <w:color w:val="000000"/>
          <w:sz w:val="22"/>
        </w:rPr>
        <w:t xml:space="preserve">Review by board. </w:t>
      </w:r>
      <w:r>
        <w:rPr>
          <w:rFonts w:ascii="Times New Roman" w:hAnsi="Times New Roman"/>
          <w:b w:val="false"/>
          <w:i w:val="false"/>
          <w:color w:val="000000"/>
          <w:sz w:val="22"/>
        </w:rPr>
        <w:t>Proceedings on the board’s review of the proposed decision shall be in accordance with 621—Chapter 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621—17.9</w:t>
      </w:r>
      <w:r>
        <w:rPr>
          <w:rFonts w:ascii="Times New Roman" w:hAnsi="Times New Roman"/>
          <w:b/>
          <w:i w:val="false"/>
          <w:color w:val="000000"/>
          <w:sz w:val="22"/>
        </w:rPr>
        <w:t xml:space="preserve">(20,70A) </w:t>
      </w:r>
      <w:r>
        <w:rPr>
          <w:rFonts w:ascii="Times New Roman" w:hAnsi="Times New Roman"/>
          <w:b/>
          <w:i w:val="false"/>
          <w:color w:val="000000"/>
          <w:sz w:val="22"/>
        </w:rPr>
        <w:t xml:space="preserve">Other rules. </w:t>
      </w:r>
      <w:r>
        <w:rPr>
          <w:rFonts w:ascii="Times New Roman" w:hAnsi="Times New Roman"/>
          <w:b w:val="false"/>
          <w:i w:val="false"/>
          <w:color w:val="000000"/>
          <w:sz w:val="22"/>
        </w:rPr>
        <w:t>Any matters not specifically addressed by the rules contained in this chapter shall be governed by the general provisions of the rules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4459C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4459C</w:t>
      </w:r>
      <w:r>
        <w:rPr>
          <w:rFonts w:ascii="Times New Roman" w:hAnsi="Times New Roman"/>
          <w:b w:val="false"/>
          <w:i w:val="false"/>
          <w:color w:val="000000"/>
          <w:sz w:val="21"/>
        </w:rPr>
        <w:t xml:space="preserve"> (Notice ARC 4364C, IAB 3/27/19)</w:t>
      </w:r>
      <w:r>
        <w:rPr>
          <w:rFonts w:ascii="Times New Roman" w:hAnsi="Times New Roman"/>
          <w:b w:val="false"/>
          <w:i w:val="false"/>
          <w:color w:val="000000"/>
          <w:sz w:val="21"/>
        </w:rPr>
        <w:t>, IAB 5/22/19, effective 6/26/19]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A.28.pdf" Type="http://schemas.openxmlformats.org/officeDocument/2006/relationships/hyperlink" Id="rId5"/>
    <Relationship TargetMode="External" Target="https://www.legis.iowa.gov/docs/ico/chapter/2C.11A.pdf" Type="http://schemas.openxmlformats.org/officeDocument/2006/relationships/hyperlink" Id="rId6"/>
    <Relationship TargetMode="External" Target="https://www.legis.iowa.gov/docs/ico/chapter/70A.28.pdf" Type="http://schemas.openxmlformats.org/officeDocument/2006/relationships/hyperlink" Id="rId7"/>
    <Relationship TargetMode="External" Target="https://www.legis.iowa.gov/docs/ico/chapter/20.pdf" Type="http://schemas.openxmlformats.org/officeDocument/2006/relationships/hyperlink" Id="rId8"/>
    <Relationship TargetMode="External" Target="https://www.legis.iowa.gov/docs/ico/chapter/70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