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ARBITRATORS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621—14.1</w:t>
      </w:r>
      <w:r>
        <w:rPr>
          <w:rFonts w:ascii="Times New Roman" w:hAnsi="Times New Roman"/>
          <w:b/>
          <w:i w:val="false"/>
          <w:color w:val="000000"/>
          <w:sz w:val="22"/>
        </w:rPr>
        <w:t xml:space="preserve">(20)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applies to all arbitrators listed on the agency’s qualified-arbitrator roster and to all applicants for listing on the roster.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621—14.2</w:t>
      </w:r>
      <w:r>
        <w:rPr>
          <w:rFonts w:ascii="Times New Roman" w:hAnsi="Times New Roman"/>
          <w:b/>
          <w:i w:val="false"/>
          <w:color w:val="000000"/>
          <w:sz w:val="22"/>
        </w:rPr>
        <w:t xml:space="preserve">(20)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“Advocate” </w:t>
      </w:r>
      <w:r>
        <w:rPr>
          <w:rFonts w:ascii="Times New Roman" w:hAnsi="Times New Roman"/>
          <w:b w:val="false"/>
          <w:i w:val="false"/>
          <w:color w:val="000000"/>
          <w:sz w:val="22"/>
        </w:rPr>
        <w:t>means a person who represents employers, employee organizations, or individuals or entities in labor relations or employment relations matters, including but not limited to the subjects of union representation and recognition matters, negotiations, mediation, arbitration, unfair or prohibited labor practices, equal employment opportunity, and other areas generally recognized as constituting labor or employment relations. “Advocate” includes representatives of employers or employees in individual cases or controversies involving workers’ compensation, occupational health or safety, minimum wage, or other labor standards matters. “Advocate” also includes persons directly or indirectly associated with an advocate in a business or professional relationship as, for example, partners or employees of a law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“Arbitrator” </w:t>
      </w:r>
      <w:r>
        <w:rPr>
          <w:rFonts w:ascii="Times New Roman" w:hAnsi="Times New Roman"/>
          <w:b w:val="false"/>
          <w:i w:val="false"/>
          <w:color w:val="000000"/>
          <w:sz w:val="22"/>
        </w:rPr>
        <w:t>means a person serving as a neutral decision-maker in interest arbitrations or grievance arbitrations.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arbitration” </w:t>
      </w:r>
      <w:r>
        <w:rPr>
          <w:rFonts w:ascii="Times New Roman" w:hAnsi="Times New Roman"/>
          <w:b w:val="false"/>
          <w:i w:val="false"/>
          <w:color w:val="000000"/>
          <w:sz w:val="22"/>
        </w:rPr>
        <w:t xml:space="preserve">means the proceedings on an alleged contract violation as provided in a collective bargaining agreement entered into pursuant to Iowa Code chapter </w:t>
      </w:r>
      <w:hyperlink r:id="rId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arbitrator” </w:t>
      </w:r>
      <w:r>
        <w:rPr>
          <w:rFonts w:ascii="Times New Roman" w:hAnsi="Times New Roman"/>
          <w:b w:val="false"/>
          <w:i w:val="false"/>
          <w:color w:val="000000"/>
          <w:sz w:val="22"/>
        </w:rPr>
        <w:t>means a person serving as a neutral decision-maker in a grievance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 arbitration” </w:t>
      </w:r>
      <w:r>
        <w:rPr>
          <w:rFonts w:ascii="Times New Roman" w:hAnsi="Times New Roman"/>
          <w:b w:val="false"/>
          <w:i w:val="false"/>
          <w:color w:val="000000"/>
          <w:sz w:val="22"/>
        </w:rPr>
        <w:t xml:space="preserve">means the binding arbitration contemplated by Iowa Code section </w:t>
      </w:r>
      <w:hyperlink r:id="rId6">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or by an impasse agreement entered into pursuant to Iowa Code section </w:t>
      </w:r>
      <w:hyperlink r:id="rId7">
        <w:r>
          <w:rPr>
            <w:rStyle w:val="Hyperlink"/>
            <w:rFonts w:ascii="Times New Roman" w:hAnsi="Times New Roman"/>
            <w:b w:val="false"/>
            <w:i w:val="false"/>
            <w:color w:val="000000"/>
            <w:sz w:val="22"/>
          </w:rPr>
          <w:t>20.19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 arbitrator” </w:t>
      </w:r>
      <w:r>
        <w:rPr>
          <w:rFonts w:ascii="Times New Roman" w:hAnsi="Times New Roman"/>
          <w:b w:val="false"/>
          <w:i w:val="false"/>
          <w:color w:val="000000"/>
          <w:sz w:val="22"/>
        </w:rPr>
        <w:t>means a person serving as a neutral decision-maker in an interest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“Qualified-arbitrator roster”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“roster” </w:t>
      </w:r>
      <w:r>
        <w:rPr>
          <w:rFonts w:ascii="Times New Roman" w:hAnsi="Times New Roman"/>
          <w:b w:val="false"/>
          <w:i w:val="false"/>
          <w:color w:val="000000"/>
          <w:sz w:val="22"/>
        </w:rPr>
        <w:t>means the agency-maintained list of arbitrators who have met the criteria set forth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621—14.3</w:t>
      </w:r>
      <w:r>
        <w:rPr>
          <w:rFonts w:ascii="Times New Roman" w:hAnsi="Times New Roman"/>
          <w:b/>
          <w:i w:val="false"/>
          <w:color w:val="000000"/>
          <w:sz w:val="22"/>
        </w:rPr>
        <w:t xml:space="preserve">(20) </w:t>
      </w:r>
      <w:r>
        <w:rPr>
          <w:rFonts w:ascii="Times New Roman" w:hAnsi="Times New Roman"/>
          <w:b/>
          <w:i w:val="false"/>
          <w:color w:val="000000"/>
          <w:sz w:val="22"/>
        </w:rPr>
        <w:t xml:space="preserve">Roster and status of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The roster. </w:t>
      </w:r>
      <w:r>
        <w:rPr>
          <w:rFonts w:ascii="Times New Roman" w:hAnsi="Times New Roman"/>
          <w:b w:val="false"/>
          <w:i w:val="false"/>
          <w:color w:val="000000"/>
          <w:sz w:val="22"/>
        </w:rPr>
        <w:t xml:space="preserve">The agency shall maintain a roster of arbitrators who meet the criteria for listing contained in rule </w:t>
      </w:r>
      <w:hyperlink r:id="rId8">
        <w:r>
          <w:rPr>
            <w:rStyle w:val="Hyperlink"/>
            <w:rFonts w:ascii="Times New Roman" w:hAnsi="Times New Roman"/>
            <w:b w:val="false"/>
            <w:i w:val="false"/>
            <w:color w:val="000000"/>
            <w:sz w:val="22"/>
          </w:rPr>
          <w:t>621—14.5</w:t>
        </w:r>
      </w:hyperlink>
      <w:r>
        <w:rPr>
          <w:rFonts w:ascii="Times New Roman" w:hAnsi="Times New Roman"/>
          <w:b w:val="false"/>
          <w:i w:val="false"/>
          <w:color w:val="000000"/>
          <w:sz w:val="22"/>
        </w:rPr>
        <w:t>(20) and who remain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Adherence to standards and requirements. </w:t>
      </w:r>
      <w:r>
        <w:rPr>
          <w:rFonts w:ascii="Times New Roman" w:hAnsi="Times New Roman"/>
          <w:b w:val="false"/>
          <w:i w:val="false"/>
          <w:color w:val="000000"/>
          <w:sz w:val="22"/>
        </w:rPr>
        <w:t>Persons listed on the roster shall comply with the agency’s administrative rules pertaining to arbitrators. Arbitrators shall conform to the ethical standards and procedures set forth in the current Code of Professional Responsibility for Arbitrators of Labor Management Disputes, as approved and published by the National Academy of Arbitrators, Federal Mediation and Conciliation Service, and the American Arbitration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Status of arbitrators. </w:t>
      </w:r>
      <w:r>
        <w:rPr>
          <w:rFonts w:ascii="Times New Roman" w:hAnsi="Times New Roman"/>
          <w:b w:val="false"/>
          <w:i w:val="false"/>
          <w:color w:val="000000"/>
          <w:sz w:val="22"/>
        </w:rPr>
        <w:t>Persons who are listed on the roster are not employees of the state of Iowa. A selected arbitrator’s contractual relationship is solely with the parties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Roster listing fee. </w:t>
      </w:r>
      <w:r>
        <w:rPr>
          <w:rFonts w:ascii="Times New Roman" w:hAnsi="Times New Roman"/>
          <w:b w:val="false"/>
          <w:i w:val="false"/>
          <w:color w:val="000000"/>
          <w:sz w:val="22"/>
        </w:rPr>
        <w:t xml:space="preserve">An annual listing fee of $150 for each roster member is established to maintain the roster. Roster members shall remit payment to the agency by November 1 each year. This fee shall be considered a repayment receipt as defined in Iowa Code section </w:t>
      </w:r>
      <w:hyperlink r:id="rId9">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621—14.4</w:t>
      </w:r>
      <w:r>
        <w:rPr>
          <w:rFonts w:ascii="Times New Roman" w:hAnsi="Times New Roman"/>
          <w:b/>
          <w:i w:val="false"/>
          <w:color w:val="000000"/>
          <w:sz w:val="22"/>
        </w:rPr>
        <w:t xml:space="preserve">(20) </w:t>
      </w:r>
      <w:r>
        <w:rPr>
          <w:rFonts w:ascii="Times New Roman" w:hAnsi="Times New Roman"/>
          <w:b/>
          <w:i w:val="false"/>
          <w:color w:val="000000"/>
          <w:sz w:val="22"/>
        </w:rPr>
        <w:t xml:space="preserve">Fees of arbitrators. </w:t>
      </w:r>
      <w:r>
        <w:rPr>
          <w:rFonts w:ascii="Times New Roman" w:hAnsi="Times New Roman"/>
          <w:b w:val="false"/>
          <w:i w:val="false"/>
          <w:color w:val="000000"/>
          <w:sz w:val="22"/>
        </w:rPr>
        <w:t>Qualified arbitrators selected from the roster may be compensated by a sum not to exceed $1,200 per day of service, plus their necessary expenses incurred.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621—14.5</w:t>
      </w:r>
      <w:r>
        <w:rPr>
          <w:rFonts w:ascii="Times New Roman" w:hAnsi="Times New Roman"/>
          <w:b/>
          <w:i w:val="false"/>
          <w:color w:val="000000"/>
          <w:sz w:val="22"/>
        </w:rPr>
        <w:t xml:space="preserve">(20) </w:t>
      </w:r>
      <w:r>
        <w:rPr>
          <w:rFonts w:ascii="Times New Roman" w:hAnsi="Times New Roman"/>
          <w:b/>
          <w:i w:val="false"/>
          <w:color w:val="000000"/>
          <w:sz w:val="22"/>
        </w:rPr>
        <w:t xml:space="preserve">Arbitrator roster.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Categories of arbitrators. </w:t>
      </w:r>
      <w:r>
        <w:rPr>
          <w:rFonts w:ascii="Times New Roman" w:hAnsi="Times New Roman"/>
          <w:b w:val="false"/>
          <w:i w:val="false"/>
          <w:color w:val="000000"/>
          <w:sz w:val="22"/>
        </w:rPr>
        <w:t xml:space="preserve">The roster shall consist of two categories of arbitrators: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Interest arbitrators;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Grievance arbitrators.</w:t>
      </w:r>
    </w:p>
    <w:p>
      <w:pPr>
        <w:spacing w:before="0" w:after="0"/>
        <w:ind w:left="120"/>
        <w:jc w:val="both"/>
      </w:pPr>
      <w:r>
        <w:rPr>
          <w:rFonts w:ascii="Times New Roman" w:hAnsi="Times New Roman"/>
          <w:b w:val="false"/>
          <w:i w:val="false"/>
          <w:color w:val="000000"/>
          <w:sz w:val="22"/>
        </w:rPr>
        <w:t>Persons may be listed on the roster in each category in which they meet the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procedures. </w:t>
      </w:r>
      <w:r>
        <w:rPr>
          <w:rFonts w:ascii="Times New Roman" w:hAnsi="Times New Roman"/>
          <w:b w:val="false"/>
          <w:i w:val="false"/>
          <w:color w:val="000000"/>
          <w:sz w:val="22"/>
        </w:rPr>
        <w:t xml:space="preserve">Persons seeking to be listed on the roster in one or more categories must complete and submit an application to the board. Applicants shall submit at least one reference from management, one reference from labor, and applicable writing samples. The board will review the application under the criteria, as set forth in subrules </w:t>
      </w:r>
      <w:hyperlink r:id="rId10">
        <w:r>
          <w:rPr>
            <w:rStyle w:val="Hyperlink"/>
            <w:rFonts w:ascii="Times New Roman" w:hAnsi="Times New Roman"/>
            <w:b w:val="false"/>
            <w:i w:val="false"/>
            <w:color w:val="000000"/>
            <w:sz w:val="22"/>
          </w:rPr>
          <w:t>14.5(3)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14.5(4)</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14.5(5)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14.5(6)</w:t>
        </w:r>
      </w:hyperlink>
      <w:r>
        <w:rPr>
          <w:rFonts w:ascii="Times New Roman" w:hAnsi="Times New Roman"/>
          <w:b w:val="false"/>
          <w:i w:val="false"/>
          <w:color w:val="000000"/>
          <w:sz w:val="22"/>
        </w:rPr>
        <w:t>, and shall make a final decision concerning whether an applicant will be listed on the roster and under which category or categories the applicant qualifies. Each applicant shall be notified in writing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color w:val="000000"/>
          <w:sz w:val="22"/>
        </w:rPr>
        <w:t xml:space="preserve">Knowledge and abilities. </w:t>
      </w:r>
      <w:r>
        <w:rPr>
          <w:rFonts w:ascii="Times New Roman" w:hAnsi="Times New Roman"/>
          <w:b w:val="false"/>
          <w:i w:val="false"/>
          <w:color w:val="000000"/>
          <w:sz w:val="22"/>
        </w:rPr>
        <w:t>Applicants must establish requisite knowledge and abilities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listing on the roster as an interest arbitrator: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Good verbal and written communication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ability and willingness to travel throughout Iowa and to work prolonged and unusual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Knowledge of Iowa Code chapter </w:t>
      </w:r>
      <w:hyperlink r:id="rId1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agency’s rules, and principles and practices of contracts, public finance, and labor relations;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ability to conduct evidentiary hearings in a fair and impartial manner, develop an accurate record, and prepare and issue clear, reasoned and timely awards. For purposes of this subparagraph, “timely” means within 15 days after the interest arbitration hearing pursuant to Iowa Code section </w:t>
      </w:r>
      <w:hyperlink r:id="rId15">
        <w:r>
          <w:rPr>
            <w:rStyle w:val="Hyperlink"/>
            <w:rFonts w:ascii="Times New Roman" w:hAnsi="Times New Roman"/>
            <w:b w:val="false"/>
            <w:i w:val="false"/>
            <w:color w:val="000000"/>
            <w:sz w:val="22"/>
          </w:rPr>
          <w:t>20.22(10)</w:t>
        </w:r>
        <w:r>
          <w:rPr>
            <w:rFonts w:ascii="Times New Roman" w:hAnsi="Times New Roman"/>
            <w:b w:val="false"/>
            <w:i/>
            <w:color w:val="000000"/>
            <w:sz w:val="22"/>
          </w:rPr>
          <w:t>“a”</w:t>
        </w:r>
      </w:hyperlink>
      <w:r>
        <w:rPr>
          <w:rFonts w:ascii="Times New Roman" w:hAnsi="Times New Roman"/>
          <w:b w:val="false"/>
          <w:i w:val="false"/>
          <w:color w:val="000000"/>
          <w:sz w:val="22"/>
        </w:rPr>
        <w:t xml:space="preserve"> or in a time frame established by an impasse agreement entered into pursuant to Iowa Code section </w:t>
      </w:r>
      <w:hyperlink r:id="rId16">
        <w:r>
          <w:rPr>
            <w:rStyle w:val="Hyperlink"/>
            <w:rFonts w:ascii="Times New Roman" w:hAnsi="Times New Roman"/>
            <w:b w:val="false"/>
            <w:i w:val="false"/>
            <w:color w:val="000000"/>
            <w:sz w:val="22"/>
          </w:rPr>
          <w:t>20.19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listing on the roster as a grievance arbitrator: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Good verbal and written communication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ability and willingness to travel throughout Iowa and to work prolonged and unusual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Knowledge of arbitral principles and practices, contracts, and labor relations;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ability to conduct evidentiary hearings in a fair and impartial manner, develop an accurate record, and prepare and issue clear, reasoned and timely awards. For purposes of this subparagraph, “timely” means within the time frame established by the parties’ collective bargaining agreement entered into pursuant to Iowa Code chapter </w:t>
      </w:r>
      <w:hyperlink r:id="rId17">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Applicants must demonstrate requisite experience in labor relations or arbitration in the category in which the applicant seeks listing on the roster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listing on the roster as an interest arbitrator: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Issuance of at least four fact-finding or interest arbitration decisions or a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three years’ experience as a mediator in collective bargaining interest disputes, with training and experience in conducting hearings and issuing reasoned awards;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five years’ experience in labor relations or labor law, with training and experience in conducting hearings and issuing reasoned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listing on the roster as a grievance arbitrator: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Issuance of at least four grievance awards;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five years’ experience in labor relations or labor law, with training and experience in conducting hearings and issuing reasoned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Prior to inclusion on the roster, all applicants must disclose potential conflicts of interest as described in subrule </w:t>
      </w:r>
      <w:hyperlink r:id="rId18">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14.5(6)</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Prior to inclusion on the roster as an interest arbitrator, applicants may complete formal training provided by the agency if the training is deemed necessary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14.5(7)</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Applicants who qualify for and complete the agency’s interest arbitrator mentorship program, as outlined in rule </w:t>
      </w:r>
      <w:hyperlink r:id="rId19">
        <w:r>
          <w:rPr>
            <w:rStyle w:val="Hyperlink"/>
            <w:rFonts w:ascii="Times New Roman" w:hAnsi="Times New Roman"/>
            <w:b w:val="false"/>
            <w:i w:val="false"/>
            <w:color w:val="000000"/>
            <w:sz w:val="22"/>
          </w:rPr>
          <w:t>621—14.6</w:t>
        </w:r>
      </w:hyperlink>
      <w:r>
        <w:rPr>
          <w:rFonts w:ascii="Times New Roman" w:hAnsi="Times New Roman"/>
          <w:b w:val="false"/>
          <w:i w:val="false"/>
          <w:color w:val="000000"/>
          <w:sz w:val="22"/>
        </w:rPr>
        <w:t xml:space="preserve">(20), shall be exempt from the criteria set forth in subparagraph </w:t>
      </w:r>
      <w:hyperlink r:id="rId20">
        <w:r>
          <w:rPr>
            <w:rStyle w:val="Hyperlink"/>
            <w:rFonts w:ascii="Times New Roman" w:hAnsi="Times New Roman"/>
            <w:b w:val="false"/>
            <w:i w:val="false"/>
            <w:color w:val="000000"/>
            <w:sz w:val="22"/>
          </w:rPr>
          <w:t>14.5(4)</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subrule </w:t>
      </w:r>
      <w:hyperlink r:id="rId21">
        <w:r>
          <w:rPr>
            <w:rStyle w:val="Hyperlink"/>
            <w:rFonts w:ascii="Times New Roman" w:hAnsi="Times New Roman"/>
            <w:b w:val="false"/>
            <w:i w:val="false"/>
            <w:color w:val="000000"/>
            <w:sz w:val="22"/>
          </w:rPr>
          <w:t>14.5(6)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14.5(8)</w:t>
      </w:r>
      <w:r>
        <w:rPr>
          <w:rFonts w:ascii="Times New Roman" w:hAnsi="Times New Roman"/>
          <w:b w:val="false"/>
          <w:i w:val="false"/>
          <w:color w:val="000000"/>
          <w:sz w:val="22"/>
        </w:rPr>
        <w:t> </w:t>
      </w:r>
      <w:r>
        <w:rPr>
          <w:rFonts w:ascii="Times New Roman" w:hAnsi="Times New Roman"/>
          <w:b w:val="false"/>
          <w:i/>
          <w:color w:val="000000"/>
          <w:sz w:val="22"/>
        </w:rPr>
        <w:t xml:space="preserve">Duration of listing. </w:t>
      </w:r>
      <w:r>
        <w:rPr>
          <w:rFonts w:ascii="Times New Roman" w:hAnsi="Times New Roman"/>
          <w:b w:val="false"/>
          <w:i w:val="false"/>
          <w:color w:val="000000"/>
          <w:sz w:val="22"/>
        </w:rPr>
        <w:t>Listing on the roster shall be for a term of three years, renewable by payment of a fee of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14.5(9)</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a roster member not less than 120 days before the expiration of the member’s three-year term of the procedures necessary to continue inclusion on the roster.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roster member desiring to renew the member’s listing must submit a written application to the board not less than 60 days before the expiration of the member’s three-year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reviewing a renewal application, the board shall consider the following criteria, plus any other relevant information, in determining whether to renew the person’s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Demonstration of the requisite knowledge and abilities as listed in subrule </w:t>
      </w:r>
      <w:hyperlink r:id="rId22">
        <w:r>
          <w:rPr>
            <w:rStyle w:val="Hyperlink"/>
            <w:rFonts w:ascii="Times New Roman" w:hAnsi="Times New Roman"/>
            <w:b w:val="false"/>
            <w:i w:val="false"/>
            <w:color w:val="000000"/>
            <w:sz w:val="22"/>
          </w:rPr>
          <w:t>14.5(3)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Acceptability, which may be based on the agency’s records that show the number of times the arbitrator’s name has been proposed to the parties and the number of times the arbitrator has been selected. Such cases will be reviewed for extenuating circumstances, such as the arbitrator’s length of time on the roster or prior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Timeliness of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Feedback from the parties;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Attendance at agency-sponsored events, including conferences and trainings.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60 days of receipt of the completed application, the board shall issue and serve in accordance with </w:t>
      </w:r>
      <w:hyperlink r:id="rId23">
        <w:r>
          <w:rPr>
            <w:rStyle w:val="Hyperlink"/>
            <w:rFonts w:ascii="Times New Roman" w:hAnsi="Times New Roman"/>
            <w:b w:val="false"/>
            <w:i w:val="false"/>
            <w:color w:val="000000"/>
            <w:sz w:val="22"/>
          </w:rPr>
          <w:t>621—subrule 2.15(2)</w:t>
        </w:r>
      </w:hyperlink>
      <w:r>
        <w:rPr>
          <w:rFonts w:ascii="Times New Roman" w:hAnsi="Times New Roman"/>
          <w:b w:val="false"/>
          <w:i w:val="false"/>
          <w:color w:val="000000"/>
          <w:sz w:val="22"/>
        </w:rPr>
        <w:t xml:space="preserve"> a written decision granting or denying the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renewal is granted, the roster member shall remit payment of the annual listing fee in accordance with subrule </w:t>
      </w:r>
      <w:hyperlink r:id="rId24">
        <w:r>
          <w:rPr>
            <w:rStyle w:val="Hyperlink"/>
            <w:rFonts w:ascii="Times New Roman" w:hAnsi="Times New Roman"/>
            <w:b w:val="false"/>
            <w:i w:val="false"/>
            <w:color w:val="000000"/>
            <w:sz w:val="22"/>
          </w:rPr>
          <w:t>14.3(4)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renewal is denied, the renewal applicant may request reconsideration of the denial within 14 days of issuance of the denial. The board shall hold a hearing conducted in accordance with </w:t>
      </w:r>
      <w:hyperlink r:id="rId25">
        <w:r>
          <w:rPr>
            <w:rStyle w:val="Hyperlink"/>
            <w:rFonts w:ascii="Times New Roman" w:hAnsi="Times New Roman"/>
            <w:b w:val="false"/>
            <w:i w:val="false"/>
            <w:color w:val="000000"/>
            <w:sz w:val="22"/>
          </w:rPr>
          <w:t>621—Chapter 2</w:t>
        </w:r>
      </w:hyperlink>
      <w:r>
        <w:rPr>
          <w:rFonts w:ascii="Times New Roman" w:hAnsi="Times New Roman"/>
          <w:b w:val="false"/>
          <w:i w:val="false"/>
          <w:color w:val="000000"/>
          <w:sz w:val="22"/>
        </w:rPr>
        <w:t xml:space="preserve"> within 60 days of the request for reconsideration and shall issue its final ruling within 30 days of the hearing. Absent a timely request for reconsideration, the board’s denial of the renewal application becomes final, and the arbitrator shall be removed from the roster.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14.5(10)</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 xml:space="preserve">Any arbitrator listed on the roster prior to November 5, 2014, shall be deemed to meet all criteria set forth in subrules </w:t>
      </w:r>
      <w:hyperlink r:id="rId26">
        <w:r>
          <w:rPr>
            <w:rStyle w:val="Hyperlink"/>
            <w:rFonts w:ascii="Times New Roman" w:hAnsi="Times New Roman"/>
            <w:b w:val="false"/>
            <w:i w:val="false"/>
            <w:color w:val="000000"/>
            <w:sz w:val="22"/>
          </w:rPr>
          <w:t>14.5(3)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14.5(4)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14.5(6)</w:t>
        </w:r>
      </w:hyperlink>
      <w:r>
        <w:rPr>
          <w:rFonts w:ascii="Times New Roman" w:hAnsi="Times New Roman"/>
          <w:b w:val="false"/>
          <w:i w:val="false"/>
          <w:color w:val="000000"/>
          <w:sz w:val="22"/>
        </w:rPr>
        <w:t xml:space="preserve"> for up to three years following November 5, 2014. For purposes of renewal, the agency shall divide arbitrators listed on the roster on November 5, 2014, into three groups with staggered renewal dates and will notify the members of each group when their renewal applications are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621—14.6</w:t>
      </w:r>
      <w:r>
        <w:rPr>
          <w:rFonts w:ascii="Times New Roman" w:hAnsi="Times New Roman"/>
          <w:b/>
          <w:i w:val="false"/>
          <w:color w:val="000000"/>
          <w:sz w:val="22"/>
        </w:rPr>
        <w:t xml:space="preserve">(20) </w:t>
      </w:r>
      <w:r>
        <w:rPr>
          <w:rFonts w:ascii="Times New Roman" w:hAnsi="Times New Roman"/>
          <w:b/>
          <w:i w:val="false"/>
          <w:color w:val="000000"/>
          <w:sz w:val="22"/>
        </w:rPr>
        <w:t xml:space="preserve">Interest arbitrator mentorship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color w:val="000000"/>
          <w:sz w:val="22"/>
        </w:rPr>
        <w:t xml:space="preserve">Goal. </w:t>
      </w:r>
      <w:r>
        <w:rPr>
          <w:rFonts w:ascii="Times New Roman" w:hAnsi="Times New Roman"/>
          <w:b w:val="false"/>
          <w:i w:val="false"/>
          <w:color w:val="000000"/>
          <w:sz w:val="22"/>
        </w:rPr>
        <w:t>It is a goal of the board to increase the number of Iowa residents qualified to be on the roster. Such increase should provide constituents additional options for hiring arbitrators whose reimbursable expenses, such as for mileage and accommodations, are lower and who are more familiar with situations facing the parties. The board may suspend the interest arbitrator mentorship program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 xml:space="preserve">Persons seeking to participate in the program must complete and submit an application on a form prescribed by the board. The board will review the application and make a final decision whether an applicant qualifies for the program in accordance with subrule </w:t>
      </w:r>
      <w:hyperlink r:id="rId29">
        <w:r>
          <w:rPr>
            <w:rStyle w:val="Hyperlink"/>
            <w:rFonts w:ascii="Times New Roman" w:hAnsi="Times New Roman"/>
            <w:b w:val="false"/>
            <w:i w:val="false"/>
            <w:color w:val="000000"/>
            <w:sz w:val="22"/>
          </w:rPr>
          <w:t>14.6(3)</w:t>
        </w:r>
      </w:hyperlink>
      <w:r>
        <w:rPr>
          <w:rFonts w:ascii="Times New Roman" w:hAnsi="Times New Roman"/>
          <w:b w:val="false"/>
          <w:i w:val="false"/>
          <w:color w:val="000000"/>
          <w:sz w:val="22"/>
        </w:rPr>
        <w:t>. Each applicant shall be notified in writing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To be eligible to participate in the program, an applicant must meet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a resident of the state of Iowa at the time of application and throughout the duration of the mentorship program and maintain the residency for the first year of listing;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at least five years of collective bargaining experience in the public or private sector as an advocate, mediator, or combination of both;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Possess good verbal and written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the ability and willingness to travel throughout Iowa and to work prolonged and unusual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 have a conflict of interest as described in subrule </w:t>
      </w:r>
      <w:hyperlink r:id="rId30">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color w:val="000000"/>
          <w:sz w:val="22"/>
        </w:rPr>
        <w:t xml:space="preserve">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consist of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Formal training by the agency regarding Iowa Code chapter </w:t>
      </w:r>
      <w:hyperlink r:id="rId31">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the agency’s administrative rules, and how to conduct hearings and write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Shadowing an experienced arbitrator listed on the roster in at least two interest arbitrations;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at least two mock interest arbitration awards that comply with statutory and regulatory requirements. The board may require additional mock awards if deemed necessary.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the program will result in the participant’s inclusion on the roster as an interest arbitrator. Participants must satisfy the criteria for grievance arbitrators outlined in subrules </w:t>
      </w:r>
      <w:hyperlink r:id="rId32">
        <w:r>
          <w:rPr>
            <w:rStyle w:val="Hyperlink"/>
            <w:rFonts w:ascii="Times New Roman" w:hAnsi="Times New Roman"/>
            <w:b w:val="false"/>
            <w:i w:val="false"/>
            <w:color w:val="000000"/>
            <w:sz w:val="22"/>
          </w:rPr>
          <w:t>14.5(3)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14.5(4)</w:t>
        </w:r>
      </w:hyperlink>
      <w:r>
        <w:rPr>
          <w:rFonts w:ascii="Times New Roman" w:hAnsi="Times New Roman"/>
          <w:b w:val="false"/>
          <w:i w:val="false"/>
          <w:color w:val="000000"/>
          <w:sz w:val="22"/>
        </w:rPr>
        <w:t xml:space="preserve"> prior to inclusion on the roster under that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621—14.7</w:t>
      </w:r>
      <w:r>
        <w:rPr>
          <w:rFonts w:ascii="Times New Roman" w:hAnsi="Times New Roman"/>
          <w:b/>
          <w:i w:val="false"/>
          <w:color w:val="000000"/>
          <w:sz w:val="22"/>
        </w:rPr>
        <w:t xml:space="preserve">(20) </w:t>
      </w:r>
      <w:r>
        <w:rPr>
          <w:rFonts w:ascii="Times New Roman" w:hAnsi="Times New Roman"/>
          <w:b/>
          <w:i w:val="false"/>
          <w:color w:val="000000"/>
          <w:sz w:val="22"/>
        </w:rPr>
        <w:t xml:space="preserve">Biography. </w:t>
      </w:r>
      <w:r>
        <w:rPr>
          <w:rFonts w:ascii="Times New Roman" w:hAnsi="Times New Roman"/>
          <w:b w:val="false"/>
          <w:i w:val="false"/>
          <w:color w:val="000000"/>
          <w:sz w:val="22"/>
        </w:rPr>
        <w:t>Each roster member shall maintain a biography in a form prescribed by the board. The roster member is responsible for ensuring that the biography is accurate and current. The agency bears no responsibility for inaccurate, incomplete, or outdated information in biographies. The member’s biography shall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address, telephone number, and email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Current and past employment, including the member’s representative client base if not readily identifiable;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Education history;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Per diem rate and other applicable charges or fees;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Relevant experience, including but not limited to listing on other arbitrator rosters or memberships/associations;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Potential or actual conflicts of interest as described in subrule </w:t>
      </w:r>
      <w:hyperlink r:id="rId34">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621—14.8</w:t>
      </w:r>
      <w:r>
        <w:rPr>
          <w:rFonts w:ascii="Times New Roman" w:hAnsi="Times New Roman"/>
          <w:b/>
          <w:i w:val="false"/>
          <w:color w:val="000000"/>
          <w:sz w:val="22"/>
        </w:rPr>
        <w:t xml:space="preserve">(20) </w:t>
      </w:r>
      <w:r>
        <w:rPr>
          <w:rFonts w:ascii="Times New Roman" w:hAnsi="Times New Roman"/>
          <w:b/>
          <w:i w:val="false"/>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The board shall determine whether a person has a conflict of interest which may require denial of an initial or renewal application or removal from the roster or from individual selections. A conflict of interest arises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arbitrator is or has been an employee or advocate for a party to the arbitration within the prior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arbitrator’s immediate family member, or any other person with whom the arbitrator has close, personal ties, is an interested party in the outcome of the arbitration;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matter that may create an appearance of bias, lack of impartiality, or interest in the proceedings to which the arbitrator may be or has been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color w:val="000000"/>
          <w:sz w:val="22"/>
        </w:rPr>
        <w:t xml:space="preserve">Duty to disclose. </w:t>
      </w:r>
      <w:r>
        <w:rPr>
          <w:rFonts w:ascii="Times New Roman" w:hAnsi="Times New Roman"/>
          <w:b w:val="false"/>
          <w:i w:val="false"/>
          <w:color w:val="000000"/>
          <w:sz w:val="22"/>
        </w:rPr>
        <w:t xml:space="preserve">A person applying for inclusion on the roster or a person listed on the roster has a continuing duty to disclose to the board in writing any potential or actual conflicts of interest as described in subrule </w:t>
      </w:r>
      <w:hyperlink r:id="rId35">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14.8(3)</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The board may require an arbitrator to disclose certain matters to the parties of an arbitration prior to its commencement. If either party objects to proceeding to arbitration with that arbitrator, the board may require the parties to make an alternate selection.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621—14.9</w:t>
      </w:r>
      <w:r>
        <w:rPr>
          <w:rFonts w:ascii="Times New Roman" w:hAnsi="Times New Roman"/>
          <w:b/>
          <w:i w:val="false"/>
          <w:color w:val="000000"/>
          <w:sz w:val="22"/>
        </w:rPr>
        <w:t xml:space="preserve">(20) </w:t>
      </w:r>
      <w:r>
        <w:rPr>
          <w:rFonts w:ascii="Times New Roman" w:hAnsi="Times New Roman"/>
          <w:b/>
          <w:i w:val="false"/>
          <w:color w:val="000000"/>
          <w:sz w:val="22"/>
        </w:rPr>
        <w:t xml:space="preserve">Procedures for discipline and removal.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Probation, suspension, or removal from the roster may be based upon one or a combination of any of the following,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statutory provisions, the agency’s administrative rules, and agency guidelines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Delinquency in submitting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Existence of a conflict of interest as described in subrule </w:t>
      </w:r>
      <w:hyperlink r:id="rId36">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that requires exclusion from the roster;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disclose to the board or the parties any conflict of interest as described in subrule </w:t>
      </w:r>
      <w:hyperlink r:id="rId37">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demonstrate the requisite knowledge and abilities listed in subrule </w:t>
      </w:r>
      <w:hyperlink r:id="rId38">
        <w:r>
          <w:rPr>
            <w:rStyle w:val="Hyperlink"/>
            <w:rFonts w:ascii="Times New Roman" w:hAnsi="Times New Roman"/>
            <w:b w:val="false"/>
            <w:i w:val="false"/>
            <w:color w:val="000000"/>
            <w:sz w:val="22"/>
          </w:rPr>
          <w:t>14.5(3)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reason for which the board deems discipline or removal to be in the best interest of the agency, its constituents, or the public at large.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color w:val="000000"/>
          <w:sz w:val="22"/>
        </w:rPr>
        <w:t xml:space="preserve">Automatic removal. </w:t>
      </w:r>
      <w:r>
        <w:rPr>
          <w:rFonts w:ascii="Times New Roman" w:hAnsi="Times New Roman"/>
          <w:b w:val="false"/>
          <w:i w:val="false"/>
          <w:color w:val="000000"/>
          <w:sz w:val="22"/>
        </w:rPr>
        <w:t xml:space="preserve">Any roster member who fails to pay the annual listing fee pursuant to subrule </w:t>
      </w:r>
      <w:hyperlink r:id="rId39">
        <w:r>
          <w:rPr>
            <w:rStyle w:val="Hyperlink"/>
            <w:rFonts w:ascii="Times New Roman" w:hAnsi="Times New Roman"/>
            <w:b w:val="false"/>
            <w:i w:val="false"/>
            <w:color w:val="000000"/>
            <w:sz w:val="22"/>
          </w:rPr>
          <w:t>14.3(4)</w:t>
        </w:r>
      </w:hyperlink>
      <w:r>
        <w:rPr>
          <w:rFonts w:ascii="Times New Roman" w:hAnsi="Times New Roman"/>
          <w:b w:val="false"/>
          <w:i w:val="false"/>
          <w:color w:val="000000"/>
          <w:sz w:val="22"/>
        </w:rPr>
        <w:t xml:space="preserve"> shall be removed from the roster, absent good cause shown for why removal is inappropriate. Any member who fails to submit a renewal application pursuant to paragraph </w:t>
      </w:r>
      <w:hyperlink r:id="rId40">
        <w:r>
          <w:rPr>
            <w:rStyle w:val="Hyperlink"/>
            <w:rFonts w:ascii="Times New Roman" w:hAnsi="Times New Roman"/>
            <w:b w:val="false"/>
            <w:i w:val="false"/>
            <w:color w:val="000000"/>
            <w:sz w:val="22"/>
          </w:rPr>
          <w:t>14.5(9)</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removed from the roster 30 days after the expiration of the member’s term, absent good cause shown for why removal is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color w:val="000000"/>
          <w:sz w:val="22"/>
        </w:rPr>
        <w:t xml:space="preserve">Filing of a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affected person or party may file with the board a complaint against an arbitrator listed on the roster. The board may also file a complaint pursuant to this subrule. Such complaint shall be in writing and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of the complaining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dispute(s) in which the complaining party has interacted with the arbitrator;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allegations on which the complaint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requested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complaining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on which the complaint was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serve on the arbitrator written notice of the complaint within 14 days of receipt of the complaint and in accordance with rule </w:t>
      </w:r>
      <w:hyperlink r:id="rId41">
        <w:r>
          <w:rPr>
            <w:rStyle w:val="Hyperlink"/>
            <w:rFonts w:ascii="Times New Roman" w:hAnsi="Times New Roman"/>
            <w:b w:val="false"/>
            <w:i w:val="false"/>
            <w:color w:val="000000"/>
            <w:sz w:val="22"/>
          </w:rPr>
          <w:t>621—2.15</w:t>
        </w:r>
      </w:hyperlink>
      <w:r>
        <w:rPr>
          <w:rFonts w:ascii="Times New Roman" w:hAnsi="Times New Roman"/>
          <w:b w:val="false"/>
          <w:i w:val="false"/>
          <w:color w:val="000000"/>
          <w:sz w:val="22"/>
        </w:rPr>
        <w:t>(20).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color w:val="000000"/>
          <w:sz w:val="22"/>
        </w:rPr>
        <w:t xml:space="preserve">Preliminary investigation. </w:t>
      </w:r>
      <w:r>
        <w:rPr>
          <w:rFonts w:ascii="Times New Roman" w:hAnsi="Times New Roman"/>
          <w:b w:val="false"/>
          <w:i w:val="false"/>
          <w:color w:val="000000"/>
          <w:sz w:val="22"/>
        </w:rPr>
        <w:t xml:space="preserve">Upon receipt of a complaint from an affected person or party, the board shall conduct a preliminary investigation into the allegations. In conducting the investigation, the board may require the production of evidence, including affidavits and documents. If the investigation reveals the complaint has no basis in fact or if the complaint is informally resolved with the approval of the board, the complaint shall be dismissed and the parties notified in accordance with rule </w:t>
      </w:r>
      <w:hyperlink r:id="rId42">
        <w:r>
          <w:rPr>
            <w:rStyle w:val="Hyperlink"/>
            <w:rFonts w:ascii="Times New Roman" w:hAnsi="Times New Roman"/>
            <w:b w:val="false"/>
            <w:i w:val="false"/>
            <w:color w:val="000000"/>
            <w:sz w:val="22"/>
          </w:rPr>
          <w:t>621—2.15(20)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14.9(5)</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If the complaint is not dismissed following the preliminary investigation, the board shall schedule the complaint for hearing and notify the parties in accordance with rule </w:t>
      </w:r>
      <w:hyperlink r:id="rId43">
        <w:r>
          <w:rPr>
            <w:rStyle w:val="Hyperlink"/>
            <w:rFonts w:ascii="Times New Roman" w:hAnsi="Times New Roman"/>
            <w:b w:val="false"/>
            <w:i w:val="false"/>
            <w:color w:val="000000"/>
            <w:sz w:val="22"/>
          </w:rPr>
          <w:t>621—2.2</w:t>
        </w:r>
      </w:hyperlink>
      <w:r>
        <w:rPr>
          <w:rFonts w:ascii="Times New Roman" w:hAnsi="Times New Roman"/>
          <w:b w:val="false"/>
          <w:i w:val="false"/>
          <w:color w:val="000000"/>
          <w:sz w:val="22"/>
        </w:rPr>
        <w:t xml:space="preserve">(20). The hearing shall be held within 60 days of the completion of the preliminary investigation or the filing of a board-initiated complaint. The hearing and all subsequent proceedings and filings shall be in accordance with </w:t>
      </w:r>
      <w:hyperlink r:id="rId44">
        <w:r>
          <w:rPr>
            <w:rStyle w:val="Hyperlink"/>
            <w:rFonts w:ascii="Times New Roman" w:hAnsi="Times New Roman"/>
            <w:b w:val="false"/>
            <w:i w:val="false"/>
            <w:color w:val="000000"/>
            <w:sz w:val="22"/>
          </w:rPr>
          <w:t>621—Chapter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14.9(6)</w:t>
      </w:r>
      <w:r>
        <w:rPr>
          <w:rFonts w:ascii="Times New Roman" w:hAnsi="Times New Roman"/>
          <w:b w:val="false"/>
          <w:i w:val="false"/>
          <w:color w:val="000000"/>
          <w:sz w:val="22"/>
        </w:rPr>
        <w:t> </w:t>
      </w:r>
      <w:r>
        <w:rPr>
          <w:rFonts w:ascii="Times New Roman" w:hAnsi="Times New Roman"/>
          <w:b w:val="false"/>
          <w:i/>
          <w:color w:val="000000"/>
          <w:sz w:val="22"/>
        </w:rPr>
        <w:t xml:space="preserve">Timely resolution of complaints. </w:t>
      </w:r>
      <w:r>
        <w:rPr>
          <w:rFonts w:ascii="Times New Roman" w:hAnsi="Times New Roman"/>
          <w:b w:val="false"/>
          <w:i w:val="false"/>
          <w:color w:val="000000"/>
          <w:sz w:val="22"/>
        </w:rPr>
        <w:t>Complaints filed with the board shall be resolved within 180 days unless good cause is shown for an extension. The board will notify the parties prior to taking action to extend this time limitation upon its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621—14.10</w:t>
      </w:r>
      <w:r>
        <w:rPr>
          <w:rFonts w:ascii="Times New Roman" w:hAnsi="Times New Roman"/>
          <w:b/>
          <w:i w:val="false"/>
          <w:color w:val="000000"/>
          <w:sz w:val="22"/>
        </w:rPr>
        <w:t xml:space="preserve">(20) </w:t>
      </w:r>
      <w:r>
        <w:rPr>
          <w:rFonts w:ascii="Times New Roman" w:hAnsi="Times New Roman"/>
          <w:b/>
          <w:i w:val="false"/>
          <w:color w:val="000000"/>
          <w:sz w:val="22"/>
        </w:rPr>
        <w:t xml:space="preserve">Inactive status. </w:t>
      </w:r>
      <w:r>
        <w:rPr>
          <w:rFonts w:ascii="Times New Roman" w:hAnsi="Times New Roman"/>
          <w:b w:val="false"/>
          <w:i w:val="false"/>
          <w:color w:val="000000"/>
          <w:sz w:val="22"/>
        </w:rPr>
        <w:t>A roster member who continues to meet the criteria for listing on the roster shall inform the agency if the member is unavailable for selection on a temporary basis because of illness, vacation, schedule, or other reasons. That member’s name will not be included on a list of arbitrators sent to parties during the period in which the member is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5">
        <w:r>
          <w:rPr>
            <w:rStyle w:val="Hyperlink"/>
            <w:rFonts w:ascii="Times New Roman" w:hAnsi="Times New Roman"/>
            <w:b w:val="false"/>
            <w:i w:val="false"/>
            <w:color w:val="000000"/>
            <w:sz w:val="22"/>
          </w:rPr>
          <w:t>20.1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1642C</w:t>
      </w:r>
      <w:r>
        <w:rPr>
          <w:rFonts w:ascii="Times New Roman" w:hAnsi="Times New Roman"/>
          <w:b w:val="false"/>
          <w:i w:val="false"/>
          <w:color w:val="000000"/>
          <w:sz w:val="21"/>
        </w:rPr>
        <w:t xml:space="preserve"> (Notice ARC 1570C, IAB 8/6/14)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pdf" Type="http://schemas.openxmlformats.org/officeDocument/2006/relationships/hyperlink" Id="rId5"/>
    <Relationship TargetMode="External" Target="https://www.legis.iowa.gov/docs/ico/chapter/20.22.pdf" Type="http://schemas.openxmlformats.org/officeDocument/2006/relationships/hyperlink" Id="rId6"/>
    <Relationship TargetMode="External" Target="https://www.legis.iowa.gov/docs/ico/chapter/20.19.pdf" Type="http://schemas.openxmlformats.org/officeDocument/2006/relationships/hyperlink" Id="rId7"/>
    <Relationship TargetMode="External" Target="https://www.legis.iowa.gov/docs/iac/rule/621.14.5.pdf" Type="http://schemas.openxmlformats.org/officeDocument/2006/relationships/hyperlink" Id="rId8"/>
    <Relationship TargetMode="External" Target="https://www.legis.iowa.gov/docs/ico/chapter/8.2.pdf" Type="http://schemas.openxmlformats.org/officeDocument/2006/relationships/hyperlink" Id="rId9"/>
    <Relationship TargetMode="External" Target="https://www.legis.iowa.gov/docs/iac/rule/621.14.5.pdf" Type="http://schemas.openxmlformats.org/officeDocument/2006/relationships/hyperlink" Id="rId10"/>
    <Relationship TargetMode="External" Target="https://www.legis.iowa.gov/docs/iac/rule/621.14.5.pdf" Type="http://schemas.openxmlformats.org/officeDocument/2006/relationships/hyperlink" Id="rId11"/>
    <Relationship TargetMode="External" Target="https://www.legis.iowa.gov/docs/iac/rule/621.14.5.pdf" Type="http://schemas.openxmlformats.org/officeDocument/2006/relationships/hyperlink" Id="rId12"/>
    <Relationship TargetMode="External" Target="https://www.legis.iowa.gov/docs/iac/rule/621.14.5.pdf" Type="http://schemas.openxmlformats.org/officeDocument/2006/relationships/hyperlink" Id="rId13"/>
    <Relationship TargetMode="External" Target="https://www.legis.iowa.gov/docs/ico/chapter/20.pdf" Type="http://schemas.openxmlformats.org/officeDocument/2006/relationships/hyperlink" Id="rId14"/>
    <Relationship TargetMode="External" Target="https://www.legis.iowa.gov/docs/ico/chapter/20.22.pdf" Type="http://schemas.openxmlformats.org/officeDocument/2006/relationships/hyperlink" Id="rId15"/>
    <Relationship TargetMode="External" Target="https://www.legis.iowa.gov/docs/ico/chapter/20.19.pdf" Type="http://schemas.openxmlformats.org/officeDocument/2006/relationships/hyperlink" Id="rId16"/>
    <Relationship TargetMode="External" Target="https://www.legis.iowa.gov/docs/ico/chapter/20.pdf" Type="http://schemas.openxmlformats.org/officeDocument/2006/relationships/hyperlink" Id="rId17"/>
    <Relationship TargetMode="External" Target="https://www.legis.iowa.gov/docs/iac/rule/621.14.8.pdf" Type="http://schemas.openxmlformats.org/officeDocument/2006/relationships/hyperlink" Id="rId18"/>
    <Relationship TargetMode="External" Target="https://www.legis.iowa.gov/docs/iac/rule/621.14.6.pdf" Type="http://schemas.openxmlformats.org/officeDocument/2006/relationships/hyperlink" Id="rId19"/>
    <Relationship TargetMode="External" Target="https://www.legis.iowa.gov/docs/iac/rule/621.14.5.pdf" Type="http://schemas.openxmlformats.org/officeDocument/2006/relationships/hyperlink" Id="rId20"/>
    <Relationship TargetMode="External" Target="https://www.legis.iowa.gov/docs/iac/rule/621.14.5.pdf" Type="http://schemas.openxmlformats.org/officeDocument/2006/relationships/hyperlink" Id="rId21"/>
    <Relationship TargetMode="External" Target="https://www.legis.iowa.gov/docs/iac/rule/621.14.5.pdf" Type="http://schemas.openxmlformats.org/officeDocument/2006/relationships/hyperlink" Id="rId22"/>
    <Relationship TargetMode="External" Target="https://www.legis.iowa.gov/docs/iac/rule/621.2.15.pdf" Type="http://schemas.openxmlformats.org/officeDocument/2006/relationships/hyperlink" Id="rId23"/>
    <Relationship TargetMode="External" Target="https://www.legis.iowa.gov/docs/iac/rule/621.14.3.pdf" Type="http://schemas.openxmlformats.org/officeDocument/2006/relationships/hyperlink" Id="rId24"/>
    <Relationship TargetMode="External" Target="https://www.legis.iowa.gov/docs/iac/chapter/621.2.pdf" Type="http://schemas.openxmlformats.org/officeDocument/2006/relationships/hyperlink" Id="rId25"/>
    <Relationship TargetMode="External" Target="https://www.legis.iowa.gov/docs/iac/rule/621.14.5.pdf" Type="http://schemas.openxmlformats.org/officeDocument/2006/relationships/hyperlink" Id="rId26"/>
    <Relationship TargetMode="External" Target="https://www.legis.iowa.gov/docs/iac/rule/621.14.5.pdf" Type="http://schemas.openxmlformats.org/officeDocument/2006/relationships/hyperlink" Id="rId27"/>
    <Relationship TargetMode="External" Target="https://www.legis.iowa.gov/docs/iac/rule/621.14.5.pdf" Type="http://schemas.openxmlformats.org/officeDocument/2006/relationships/hyperlink" Id="rId28"/>
    <Relationship TargetMode="External" Target="https://www.legis.iowa.gov/docs/iac/rule/621.14.6.pdf" Type="http://schemas.openxmlformats.org/officeDocument/2006/relationships/hyperlink" Id="rId29"/>
    <Relationship TargetMode="External" Target="https://www.legis.iowa.gov/docs/iac/rule/621.14.8.pdf" Type="http://schemas.openxmlformats.org/officeDocument/2006/relationships/hyperlink" Id="rId30"/>
    <Relationship TargetMode="External" Target="https://www.legis.iowa.gov/docs/ico/chapter/20.pdf" Type="http://schemas.openxmlformats.org/officeDocument/2006/relationships/hyperlink" Id="rId31"/>
    <Relationship TargetMode="External" Target="https://www.legis.iowa.gov/docs/iac/rule/621.14.5.pdf" Type="http://schemas.openxmlformats.org/officeDocument/2006/relationships/hyperlink" Id="rId32"/>
    <Relationship TargetMode="External" Target="https://www.legis.iowa.gov/docs/iac/rule/621.14.5.pdf" Type="http://schemas.openxmlformats.org/officeDocument/2006/relationships/hyperlink" Id="rId33"/>
    <Relationship TargetMode="External" Target="https://www.legis.iowa.gov/docs/iac/rule/621.14.8.pdf" Type="http://schemas.openxmlformats.org/officeDocument/2006/relationships/hyperlink" Id="rId34"/>
    <Relationship TargetMode="External" Target="https://www.legis.iowa.gov/docs/iac/rule/621.14.8.pdf" Type="http://schemas.openxmlformats.org/officeDocument/2006/relationships/hyperlink" Id="rId35"/>
    <Relationship TargetMode="External" Target="https://www.legis.iowa.gov/docs/iac/rule/621.14.8.pdf" Type="http://schemas.openxmlformats.org/officeDocument/2006/relationships/hyperlink" Id="rId36"/>
    <Relationship TargetMode="External" Target="https://www.legis.iowa.gov/docs/iac/rule/621.14.8.pdf" Type="http://schemas.openxmlformats.org/officeDocument/2006/relationships/hyperlink" Id="rId37"/>
    <Relationship TargetMode="External" Target="https://www.legis.iowa.gov/docs/iac/rule/621.14.5.pdf" Type="http://schemas.openxmlformats.org/officeDocument/2006/relationships/hyperlink" Id="rId38"/>
    <Relationship TargetMode="External" Target="https://www.legis.iowa.gov/docs/iac/rule/621.14.3.pdf" Type="http://schemas.openxmlformats.org/officeDocument/2006/relationships/hyperlink" Id="rId39"/>
    <Relationship TargetMode="External" Target="https://www.legis.iowa.gov/docs/iac/rule/621.14.5.pdf" Type="http://schemas.openxmlformats.org/officeDocument/2006/relationships/hyperlink" Id="rId40"/>
    <Relationship TargetMode="External" Target="https://www.legis.iowa.gov/docs/iac/rule/621.2.15.pdf" Type="http://schemas.openxmlformats.org/officeDocument/2006/relationships/hyperlink" Id="rId41"/>
    <Relationship TargetMode="External" Target="https://www.legis.iowa.gov/docs/iac/rule/621.2.15.pdf" Type="http://schemas.openxmlformats.org/officeDocument/2006/relationships/hyperlink" Id="rId42"/>
    <Relationship TargetMode="External" Target="https://www.legis.iowa.gov/docs/iac/rule/621.2.2.pdf" Type="http://schemas.openxmlformats.org/officeDocument/2006/relationships/hyperlink" Id="rId43"/>
    <Relationship TargetMode="External" Target="https://www.legis.iowa.gov/docs/iac/chapter/621.2.pdf" Type="http://schemas.openxmlformats.org/officeDocument/2006/relationships/hyperlink" Id="rId44"/>
    <Relationship TargetMode="External" Target="https://www.legis.iowa.gov/docs/ico/chapter/20.1.pdf" Type="http://schemas.openxmlformats.org/officeDocument/2006/relationships/hyperlink" Id="rId45"/>
    <Relationship TargetMode="External" Target="https://www.legis.iowa.gov/docs/ico/chapter/20.6.pdf" Type="http://schemas.openxmlformats.org/officeDocument/2006/relationships/hyperlink" Id="rId46"/>
    <Relationship TargetMode="External" Target="https://www.legis.iowa.gov/docs/ico/chapter/20.22.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