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PUBLIC RECORDS AND FAIR INFORMATION PRACTICES</w:t>
      </w:r>
      <w:r>
        <w:br/>
      </w:r>
      <w:r>
        <w:rPr>
          <w:rFonts w:ascii="Times New Roman" w:hAnsi="Times New Roman"/>
          <w:b w:val="false"/>
          <w:i w:val="false"/>
          <w:color w:val="000000"/>
          <w:sz w:val="21"/>
        </w:rPr>
        <w:t>(Uniform Rules)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621—12.1</w:t>
      </w:r>
      <w:r>
        <w:rPr>
          <w:rFonts w:ascii="Times New Roman" w:hAnsi="Times New Roman"/>
          <w:b/>
          <w:i w:val="false"/>
          <w:color w:val="000000"/>
          <w:sz w:val="22"/>
        </w:rPr>
        <w:t xml:space="preserve">(17A,20,22)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means the public employment relations board or PERB.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“Confidential 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record which is not available as a matter of right for examination and copying by members of the public under applicable provisions of law. Confidential records include records or information contained in records that the agency is prohibited by law from making available for examination by members of the public, and records or information contained in records that are specified as confidential by Iowa Code section </w:t>
      </w:r>
      <w:hyperlink r:id="rId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or other provision of law, but that may be disclosed upon order of a court, the lawful custodian of the record, or by another person duly authorized to release the record. Mere inclusion in a record of information declared confidential by an applicable provision of law does not necessarily make that entire record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“Custodian”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board or a person lawfully delegated authority to act for the agency in implementing Iowa Code chapter </w:t>
      </w:r>
      <w:hyperlink r:id="rId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“Open record”</w:t>
      </w:r>
      <w:r>
        <w:rPr>
          <w:rFonts w:ascii="Times New Roman" w:hAnsi="Times New Roman"/>
          <w:b w:val="false"/>
          <w:i w:val="false"/>
          <w:color w:val="000000"/>
          <w:sz w:val="22"/>
        </w:rPr>
        <w:t> </w:t>
      </w:r>
      <w:r>
        <w:rPr>
          <w:rFonts w:ascii="Times New Roman" w:hAnsi="Times New Roman"/>
          <w:b w:val="false"/>
          <w:i w:val="false"/>
          <w:color w:val="000000"/>
          <w:sz w:val="22"/>
        </w:rPr>
        <w:t>means a record other than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“Personally identifiable information”</w:t>
      </w:r>
      <w:r>
        <w:rPr>
          <w:rFonts w:ascii="Times New Roman" w:hAnsi="Times New Roman"/>
          <w:b w:val="false"/>
          <w:i w:val="false"/>
          <w:color w:val="000000"/>
          <w:sz w:val="22"/>
        </w:rPr>
        <w:t> </w:t>
      </w:r>
      <w:r>
        <w:rPr>
          <w:rFonts w:ascii="Times New Roman" w:hAnsi="Times New Roman"/>
          <w:b w:val="false"/>
          <w:i w:val="false"/>
          <w:color w:val="000000"/>
          <w:sz w:val="22"/>
        </w:rPr>
        <w:t>means information about or pertaining to an individual in a record which identifies the individual and which is contained in a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whole or a part of a public record as defined in Iowa Code section </w:t>
      </w:r>
      <w:hyperlink r:id="rId7">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 system”</w:t>
      </w:r>
      <w:r>
        <w:rPr>
          <w:rFonts w:ascii="Times New Roman" w:hAnsi="Times New Roman"/>
          <w:b w:val="false"/>
          <w:i w:val="false"/>
          <w:color w:val="000000"/>
          <w:sz w:val="22"/>
        </w:rPr>
        <w:t> </w:t>
      </w:r>
      <w:r>
        <w:rPr>
          <w:rFonts w:ascii="Times New Roman" w:hAnsi="Times New Roman"/>
          <w:b w:val="false"/>
          <w:i w:val="false"/>
          <w:color w:val="000000"/>
          <w:sz w:val="22"/>
        </w:rPr>
        <w:t>means any group of records under the control of the agency from which a record may be retrieved by a personal identifier such as the name of an individual, number, symbol, or other unique retriever assigned to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“Routine use”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disclosure of a record without the consent of the subject or subjects, for a purpose which is compatible with the purpose for which the record was collected or is maintained. “Routine use” includes disclosures required to be made by statute other than the public records law, Iowa Code chapter </w:t>
      </w:r>
      <w:hyperlink r:id="rId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4457C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621—12.2</w:t>
      </w:r>
      <w:r>
        <w:rPr>
          <w:rFonts w:ascii="Times New Roman" w:hAnsi="Times New Roman"/>
          <w:b/>
          <w:i w:val="false"/>
          <w:color w:val="000000"/>
          <w:sz w:val="22"/>
        </w:rPr>
        <w:t xml:space="preserve">(17A,20,22) </w:t>
      </w:r>
      <w:r>
        <w:rPr>
          <w:rFonts w:ascii="Times New Roman" w:hAnsi="Times New Roman"/>
          <w:b/>
          <w:i w:val="false"/>
          <w:color w:val="000000"/>
          <w:sz w:val="22"/>
        </w:rPr>
        <w:t xml:space="preserve">Statement of policy.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621—12.3</w:t>
      </w:r>
      <w:r>
        <w:rPr>
          <w:rFonts w:ascii="Times New Roman" w:hAnsi="Times New Roman"/>
          <w:b/>
          <w:i w:val="false"/>
          <w:color w:val="000000"/>
          <w:sz w:val="22"/>
        </w:rPr>
        <w:t xml:space="preserve">(17A,20,22) </w:t>
      </w:r>
      <w:r>
        <w:rPr>
          <w:rFonts w:ascii="Times New Roman" w:hAnsi="Times New Roman"/>
          <w:b/>
          <w:i w:val="false"/>
          <w:color w:val="000000"/>
          <w:sz w:val="22"/>
        </w:rPr>
        <w:t xml:space="preserve">Requests for access to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621—12.4</w:t>
      </w:r>
      <w:r>
        <w:rPr>
          <w:rFonts w:ascii="Times New Roman" w:hAnsi="Times New Roman"/>
          <w:b/>
          <w:i w:val="false"/>
          <w:color w:val="000000"/>
          <w:sz w:val="22"/>
        </w:rPr>
        <w:t xml:space="preserve">(17A,20,22) </w:t>
      </w:r>
      <w:r>
        <w:rPr>
          <w:rFonts w:ascii="Times New Roman" w:hAnsi="Times New Roman"/>
          <w:b/>
          <w:i w:val="false"/>
          <w:color w:val="000000"/>
          <w:sz w:val="22"/>
        </w:rPr>
        <w:t xml:space="preserve">Procedures for access to confidential records.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621—12.5</w:t>
      </w:r>
      <w:r>
        <w:rPr>
          <w:rFonts w:ascii="Times New Roman" w:hAnsi="Times New Roman"/>
          <w:b/>
          <w:i w:val="false"/>
          <w:color w:val="000000"/>
          <w:sz w:val="22"/>
        </w:rPr>
        <w:t xml:space="preserve">(17A,20,22) </w:t>
      </w:r>
      <w:r>
        <w:rPr>
          <w:rFonts w:ascii="Times New Roman" w:hAnsi="Times New Roman"/>
          <w:b/>
          <w:i w:val="false"/>
          <w:color w:val="000000"/>
          <w:sz w:val="22"/>
        </w:rPr>
        <w:t xml:space="preserve">Requests for treatment of a record as a confidential record and its withholding from examination.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621—12.6</w:t>
      </w:r>
      <w:r>
        <w:rPr>
          <w:rFonts w:ascii="Times New Roman" w:hAnsi="Times New Roman"/>
          <w:b/>
          <w:i w:val="false"/>
          <w:color w:val="000000"/>
          <w:sz w:val="22"/>
        </w:rPr>
        <w:t xml:space="preserve">(17A,20,22) </w:t>
      </w:r>
      <w:r>
        <w:rPr>
          <w:rFonts w:ascii="Times New Roman" w:hAnsi="Times New Roman"/>
          <w:b/>
          <w:i w:val="false"/>
          <w:color w:val="000000"/>
          <w:sz w:val="22"/>
        </w:rPr>
        <w:t xml:space="preserve">Consent to disclosure by the subject of a confidential record.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621—12.7</w:t>
      </w:r>
      <w:r>
        <w:rPr>
          <w:rFonts w:ascii="Times New Roman" w:hAnsi="Times New Roman"/>
          <w:b/>
          <w:i w:val="false"/>
          <w:color w:val="000000"/>
          <w:sz w:val="22"/>
        </w:rPr>
        <w:t xml:space="preserve">(17A,20,22) </w:t>
      </w:r>
      <w:r>
        <w:rPr>
          <w:rFonts w:ascii="Times New Roman" w:hAnsi="Times New Roman"/>
          <w:b/>
          <w:i w:val="false"/>
          <w:color w:val="000000"/>
          <w:sz w:val="22"/>
        </w:rPr>
        <w:t xml:space="preserve">Disclosures without the consent of the subject.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621—12.8</w:t>
      </w:r>
      <w:r>
        <w:rPr>
          <w:rFonts w:ascii="Times New Roman" w:hAnsi="Times New Roman"/>
          <w:b/>
          <w:i w:val="false"/>
          <w:color w:val="000000"/>
          <w:sz w:val="22"/>
        </w:rPr>
        <w:t xml:space="preserve">(17A,20,22) </w:t>
      </w:r>
      <w:r>
        <w:rPr>
          <w:rFonts w:ascii="Times New Roman" w:hAnsi="Times New Roman"/>
          <w:b/>
          <w:i w:val="false"/>
          <w:color w:val="000000"/>
          <w:sz w:val="22"/>
        </w:rPr>
        <w:t xml:space="preserve">Routine use.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621—12.9</w:t>
      </w:r>
      <w:r>
        <w:rPr>
          <w:rFonts w:ascii="Times New Roman" w:hAnsi="Times New Roman"/>
          <w:b/>
          <w:i w:val="false"/>
          <w:color w:val="000000"/>
          <w:sz w:val="22"/>
        </w:rPr>
        <w:t xml:space="preserve">(17A,20,22) </w:t>
      </w:r>
      <w:r>
        <w:rPr>
          <w:rFonts w:ascii="Times New Roman" w:hAnsi="Times New Roman"/>
          <w:b/>
          <w:i w:val="false"/>
          <w:color w:val="000000"/>
          <w:sz w:val="22"/>
        </w:rPr>
        <w:t xml:space="preserve">Consensual disclosure of confidential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621—12.10</w:t>
      </w:r>
      <w:r>
        <w:rPr>
          <w:rFonts w:ascii="Times New Roman" w:hAnsi="Times New Roman"/>
          <w:b/>
          <w:i w:val="false"/>
          <w:color w:val="000000"/>
          <w:sz w:val="22"/>
        </w:rPr>
        <w:t xml:space="preserve">(17A,20,22) </w:t>
      </w:r>
      <w:r>
        <w:rPr>
          <w:rFonts w:ascii="Times New Roman" w:hAnsi="Times New Roman"/>
          <w:b/>
          <w:i w:val="false"/>
          <w:color w:val="000000"/>
          <w:sz w:val="22"/>
        </w:rPr>
        <w:t xml:space="preserve">Release to subject.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621—12.11</w:t>
      </w:r>
      <w:r>
        <w:rPr>
          <w:rFonts w:ascii="Times New Roman" w:hAnsi="Times New Roman"/>
          <w:b/>
          <w:i w:val="false"/>
          <w:color w:val="000000"/>
          <w:sz w:val="22"/>
        </w:rPr>
        <w:t xml:space="preserve">(17A,20,22) </w:t>
      </w:r>
      <w:r>
        <w:rPr>
          <w:rFonts w:ascii="Times New Roman" w:hAnsi="Times New Roman"/>
          <w:b/>
          <w:i w:val="false"/>
          <w:color w:val="000000"/>
          <w:sz w:val="22"/>
        </w:rPr>
        <w:t xml:space="preserve">Availability of records.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i w:val="false"/>
          <w:color w:val="000000"/>
          <w:sz w:val="22"/>
        </w:rPr>
        <w:t>621—12.12</w:t>
      </w:r>
      <w:r>
        <w:rPr>
          <w:rFonts w:ascii="Times New Roman" w:hAnsi="Times New Roman"/>
          <w:b/>
          <w:i w:val="false"/>
          <w:color w:val="000000"/>
          <w:sz w:val="22"/>
        </w:rPr>
        <w:t xml:space="preserve">(17A,20,22)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agency by personal identifier in record systems as defined in rule </w:t>
      </w:r>
      <w:hyperlink r:id="rId9">
        <w:r>
          <w:rPr>
            <w:rStyle w:val="Hyperlink"/>
            <w:rFonts w:ascii="Times New Roman" w:hAnsi="Times New Roman"/>
            <w:b w:val="false"/>
            <w:i w:val="false"/>
            <w:color w:val="000000"/>
            <w:sz w:val="22"/>
          </w:rPr>
          <w:t>621—12.1</w:t>
        </w:r>
      </w:hyperlink>
      <w:r>
        <w:rPr>
          <w:rFonts w:ascii="Times New Roman" w:hAnsi="Times New Roman"/>
          <w:b w:val="false"/>
          <w:i w:val="false"/>
          <w:color w:val="000000"/>
          <w:sz w:val="22"/>
        </w:rPr>
        <w:t xml:space="preserve">(17A,20,22). Unless otherwise stated, the authority for this agency to maintain the record is provided by Iowa Code chapter </w:t>
      </w:r>
      <w:hyperlink r:id="rId10">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 the statutes governing the subject matter of the record, and the enabling statutes of the agency, where applicable. The record systems maintained by the agency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12.12(1)</w:t>
      </w:r>
      <w:r>
        <w:rPr>
          <w:rFonts w:ascii="Times New Roman" w:hAnsi="Times New Roman"/>
          <w:b w:val="false"/>
          <w:i w:val="false"/>
          <w:color w:val="000000"/>
          <w:sz w:val="22"/>
        </w:rPr>
        <w:t> </w:t>
      </w:r>
      <w:r>
        <w:rPr>
          <w:rFonts w:ascii="Times New Roman" w:hAnsi="Times New Roman"/>
          <w:b w:val="false"/>
          <w:i w:val="false"/>
          <w:color w:val="000000"/>
          <w:sz w:val="22"/>
        </w:rPr>
        <w:t xml:space="preserve">Prohibited practice complaint case files. These files contain information which pertains to the alleged violation of Iowa Code chapter </w:t>
      </w:r>
      <w:hyperlink r:id="rId11">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 A person, employee organization or public employer may file the documents contained in this type of case. Case files may include pleadings, briefs, notices, rulings, decisions, orders, exhibits, transcripts, docket sheets, general correspondence, attorneys’ notes, settlement offers, memoranda, and research materials. Cases contain personal information of the representatives and may contain personal information if the complainant or respondent is an individual. Further personal information may be included in testimony, exhibits, and other documents. Cases filed prior to January 1, 2015, are contained on the agency’s network. Cases filed after January 1, 2015, are contained within the agency’s electronic document management system. If the case went to hearing, the hearing may have been recorded by mechanical means, and a copy of the recording may be available. The files are maintained by the agency and are indexed by the case number. The files may contain materials which are confidential as attorney work product or contain settlement offers and mediators’ documents. Some materials are confidential under other applicable provisions of law. Copies of documents or hearing recordings filed in these cases may be obtained through the agency or the agency’s electronic document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12.12(2)</w:t>
      </w:r>
      <w:r>
        <w:rPr>
          <w:rFonts w:ascii="Times New Roman" w:hAnsi="Times New Roman"/>
          <w:b w:val="false"/>
          <w:i w:val="false"/>
          <w:color w:val="000000"/>
          <w:sz w:val="22"/>
        </w:rPr>
        <w:t> </w:t>
      </w:r>
      <w:r>
        <w:rPr>
          <w:rFonts w:ascii="Times New Roman" w:hAnsi="Times New Roman"/>
          <w:b w:val="false"/>
          <w:i w:val="false"/>
          <w:color w:val="000000"/>
          <w:sz w:val="22"/>
        </w:rPr>
        <w:t>Bargaining unit determination and representative certification case files. These files contain information which pertains to the establishment of appropriate bargaining units, conduct of secret ballot elections and monitoring of the merger, and affiliation and disaffiliation of certified employee organizations. A person, employee organization or public employer may file the documents contained in these types of cases. Case files may include pleadings, briefs, tally of ballots, notices, rulings, decisions, orders, exhibits, transcripts, docket sheets, general correspondence, attorneys’ notes, settlement offers, memoranda, research materials, and investigation materials. Cases contain personal information of the representatives and may contain personal information if the petitioner or respondent is an individual. Further personal information may be included in transcript testimony, exhibits, and other documents. Cases filed prior to January 1, 2015, are contained on the agency’s network. Cases filed after January 1, 2015, are contained within the agency’s electronic document management system. If the case went to hearing, the hearing may have been recorded by mechanical means, and a copy of the recording may be available. The files are maintained by the agency and are indexed by the case number. Further personal information may be included in testimony and exhibits. The files may contain materials which are confidential as attorney work product, shows of interest, settlement offers and mediators’ notes. Some materials are confidential under other applicable provisions of law. Copies of documents or hearing recordings filed in these cases may be obtained through the agency or the agency’s electronic document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12.12(3)</w:t>
      </w:r>
      <w:r>
        <w:rPr>
          <w:rFonts w:ascii="Times New Roman" w:hAnsi="Times New Roman"/>
          <w:b w:val="false"/>
          <w:i w:val="false"/>
          <w:color w:val="000000"/>
          <w:sz w:val="22"/>
        </w:rPr>
        <w:t> </w:t>
      </w:r>
      <w:r>
        <w:rPr>
          <w:rFonts w:ascii="Times New Roman" w:hAnsi="Times New Roman"/>
          <w:b w:val="false"/>
          <w:i w:val="false"/>
          <w:color w:val="000000"/>
          <w:sz w:val="22"/>
        </w:rPr>
        <w:t>Retention and recertification election case files. These files contain information which pertains to the conduct of a retention and recertification election. A person, employee organization or public employer may file the documents contained in this type of case. Case files include pleadings, notices, voter lists, tally of ballots, orders, challenges, and objections. Cases contain personal information of the representatives. Further personal information may be included in testimony, exhibits, and other documents. The public employer is required to send to the agency a listing of employees eligible to vote in the recertification elections. The files located on the agency’s network may contain materials which are confidential as attorney work product, shows of interest, settlement offers and mediators’ notes. Some materials are confidential under other applicable provisions of law. Copies of documents filed in these cases may be obtained through the agency or the agency’s electronic document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12.12(4)</w:t>
      </w:r>
      <w:r>
        <w:rPr>
          <w:rFonts w:ascii="Times New Roman" w:hAnsi="Times New Roman"/>
          <w:b w:val="false"/>
          <w:i w:val="false"/>
          <w:color w:val="000000"/>
          <w:sz w:val="22"/>
        </w:rPr>
        <w:t> </w:t>
      </w:r>
      <w:r>
        <w:rPr>
          <w:rFonts w:ascii="Times New Roman" w:hAnsi="Times New Roman"/>
          <w:b w:val="false"/>
          <w:i w:val="false"/>
          <w:color w:val="000000"/>
          <w:sz w:val="22"/>
        </w:rPr>
        <w:t xml:space="preserve">Negotiability dispute case files. These files contain information which pertains to specific contract proposals and whether a specific contract proposal is a mandatory, permissive or excluded subject of bargaining under Iowa Code section </w:t>
      </w:r>
      <w:hyperlink r:id="rId12">
        <w:r>
          <w:rPr>
            <w:rStyle w:val="Hyperlink"/>
            <w:rFonts w:ascii="Times New Roman" w:hAnsi="Times New Roman"/>
            <w:b w:val="false"/>
            <w:i w:val="false"/>
            <w:color w:val="000000"/>
            <w:sz w:val="22"/>
          </w:rPr>
          <w:t>20.9</w:t>
        </w:r>
      </w:hyperlink>
      <w:r>
        <w:rPr>
          <w:rFonts w:ascii="Times New Roman" w:hAnsi="Times New Roman"/>
          <w:b w:val="false"/>
          <w:i w:val="false"/>
          <w:color w:val="000000"/>
          <w:sz w:val="22"/>
        </w:rPr>
        <w:t xml:space="preserve">. An employee organization or public employer may file the documents contained in this type of case. Such files contain documents concerning the agency’s determination of the negotiability question. The records may include pleadings, briefs, notices, rulings, orders, exhibits, transcripts, docket sheets, general correspondence, attorneys’ notes, memoranda, research materials, and information compiled under the direction of the agency. Cases contain personal information of the representatives. Cases filed prior to January 1, 2015, are contained on the agency’s network. The files may contain materials which are confidential as attorney work product and contain settlement offers and mediators’ documents. Some materials are confidential under other applicable provisions of law. Cases filed after January 1, 2015, are contained within the agency’s electronic document management system. If the case went to hearing, the hearing may have been recorded by mechanical means, and a copy of the recording may be available. The files are maintained by the agency and are indexed by the case number. Copies of documents or hearing recordings filed in these cases may be obtained through the agency or the agency’s electronic document management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12.12(5)</w:t>
      </w:r>
      <w:r>
        <w:rPr>
          <w:rFonts w:ascii="Times New Roman" w:hAnsi="Times New Roman"/>
          <w:b w:val="false"/>
          <w:i w:val="false"/>
          <w:color w:val="000000"/>
          <w:sz w:val="22"/>
        </w:rPr>
        <w:t> </w:t>
      </w:r>
      <w:r>
        <w:rPr>
          <w:rFonts w:ascii="Times New Roman" w:hAnsi="Times New Roman"/>
          <w:b w:val="false"/>
          <w:i w:val="false"/>
          <w:color w:val="000000"/>
          <w:sz w:val="22"/>
        </w:rPr>
        <w:t>Declaratory order case files. These files contain information which pertains to applicability of a statute, rule or order within the primary jurisdiction of the agency. A person, employee organization or public employer may file the documents contained in this type of case. Such files contain documents concerning the agency’s determination of that question. The records may include pleadings, notices, rulings, orders, exhibits, transcripts, docket sheets, general correspondence, attorneys’ notes, memoranda, research materials, and information compiled under the direction of the agency. Cases contain personal information of the representatives and may contain personal information of the petitioner or respondent if the petitioner or respondent is an individual. Further personal information may be included in testimony, exhibits, and other documents. Cases filed prior to January 1, 2015, are contained on the agency’s network. Cases filed after January 1, 2015, are contained within the agency’s electronic document management system. If the case went to hearing, the hearing may have been recorded by mechanical means, and a copy of the recording may be available. The files may contain materials which are confidential as attorney work product, settlement offers and mediators’ notes. Some materials are confidential under other applicable provisions of law. The files are maintained by the agency and are indexed by the case number. Copies of documents or hearing recordings filed in these cases may be obtained through the agency or the agency’s electronic document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12.12(6)</w:t>
      </w:r>
      <w:r>
        <w:rPr>
          <w:rFonts w:ascii="Times New Roman" w:hAnsi="Times New Roman"/>
          <w:b w:val="false"/>
          <w:i w:val="false"/>
          <w:color w:val="000000"/>
          <w:sz w:val="22"/>
        </w:rPr>
        <w:t> </w:t>
      </w:r>
      <w:r>
        <w:rPr>
          <w:rFonts w:ascii="Times New Roman" w:hAnsi="Times New Roman"/>
          <w:b w:val="false"/>
          <w:i w:val="false"/>
          <w:color w:val="000000"/>
          <w:sz w:val="22"/>
        </w:rPr>
        <w:t xml:space="preserve">Contract negotiation impasse files. These files contain information which pertains to the public employer and certified employee organization’s negotiations. An employee organization or public employer may file the documents contained in the file. The records may include the request for impasse services, assignment of a mediator, interest arbitration list, selection letters, and correspondence regarding mediation and interest arbitration hearings. Mediators may maintain assigned impasse files which contain confidential documents related to the mediation. Files contain personal information of the representatives. The files are maintained by the agency and are indexed by the bargaining unit number. Electronic files will be kept for up to five years following the close of the arbitration. Copies of the documents contained in the files may be obtained through the agency.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12.12(7)</w:t>
      </w:r>
      <w:r>
        <w:rPr>
          <w:rFonts w:ascii="Times New Roman" w:hAnsi="Times New Roman"/>
          <w:b w:val="false"/>
          <w:i w:val="false"/>
          <w:color w:val="000000"/>
          <w:sz w:val="22"/>
        </w:rPr>
        <w:t> </w:t>
      </w:r>
      <w:r>
        <w:rPr>
          <w:rFonts w:ascii="Times New Roman" w:hAnsi="Times New Roman"/>
          <w:b w:val="false"/>
          <w:i w:val="false"/>
          <w:color w:val="000000"/>
          <w:sz w:val="22"/>
        </w:rPr>
        <w:t>Neutral files. The agency maintains biographical data on qualified mediators and arbitrators. A mediator’s file contains an application, an acceptance letter, and the yearly mediator contract. An arbitrator’s file contains an application, an acceptance letter, renewal applications, biographical sketches, letters of recommendation, a résumé, and decisions. Neutral files may also contain concerns expressed by employees or employer and employee organization representatives, material related to agency-conducted investigations, and information on hearings and decisions issued by the agency. Cases contain personal information of the representatives and may contain personal information of the petitioner or respondent if the petitioner or respondent is an individual. Further personal information may be included in testimony, exhibits, and other documents. Neutral files contain personal information of the neutral and may contain personal information of employees and employer and employee organization representatives if they provide written comments regarding a neutral. The files may contain materials which are confidential as attorney work product, settlement offers and mediators’ notes. Some materials are confidential under other applicable provisions of law. The files are maintained by the agency and are commonly indexed by the neutral’s last name. Biographical sketches of neutrals are located on the agency’s website. Copies of documents contained in these files may be obtained through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12.12(8)</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Employee organization files. Employee organizations are required to file certain documents with the agency prior to certification and annually. An employee organization’s representative files the documents contained in the file. The records include the certified employee organization’s constitution and bylaws, amended constitution and bylaws, registration reports, annual reports, correspondence, bargaining unit description and subsequent amendments. The employee organization files contain personal information of the representatives. Further personal information may be included in testimony and exhibits. Employee organization files are electronic and can be located in suPERB. The files are maintained by the agency and are indexed by the certified employee organization in paper files and by certified employee organization number if the files are on the agency’s electronic document management system. Copies of the documents contained in these files may be obtained through the agency or the agency’s electronic document management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12.12(9)</w:t>
      </w:r>
      <w:r>
        <w:rPr>
          <w:rFonts w:ascii="Times New Roman" w:hAnsi="Times New Roman"/>
          <w:b w:val="false"/>
          <w:i w:val="false"/>
          <w:color w:val="000000"/>
          <w:sz w:val="22"/>
        </w:rPr>
        <w:t> </w:t>
      </w:r>
      <w:r>
        <w:rPr>
          <w:rFonts w:ascii="Times New Roman" w:hAnsi="Times New Roman"/>
          <w:b w:val="false"/>
          <w:i w:val="false"/>
          <w:color w:val="000000"/>
          <w:sz w:val="22"/>
        </w:rPr>
        <w:t>State employee appeals of grievance decisions and disciplinary action case files. These files contain appeals from a response from the Iowa department of administrative services regarding an employee’s grievance or appeal of a disciplinary action. A person or representative may file the documents contained in this type of case. These files contain information which pertains to the appeal. The records may include the appeal form and attachments, pleadings, briefs, notices, rulings, decisions, orders, exhibits, transcripts, docket sheets, general correspondence, attorneys’ notes, settlement offers, memoranda, and research materials. Cases contain personal information of the representative and the employee. Further personal information may be included in testimony, exhibits, and other documents. Cases filed prior to January 1, 2015, are contained on the agency’s network. Cases filed after January 1, 2015, are contained within the agency’s electronic document management system. If the case went to hearing, the hearing may have been recorded by mechanical means, and a copy of the recording may be available. The files are maintained by the agency and are indexed by the case number. The files may contain materials which are confidential as attorney work product and contain settlement offers and mediators’ documents. Some materials are confidential under other applicable provisions of law. Copies of documents or hearing recordings filed in these cases may be obtained through the agency or the agency’s electronic document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12.12(10)</w:t>
      </w:r>
      <w:r>
        <w:rPr>
          <w:rFonts w:ascii="Times New Roman" w:hAnsi="Times New Roman"/>
          <w:b w:val="false"/>
          <w:i w:val="false"/>
          <w:color w:val="000000"/>
          <w:sz w:val="22"/>
        </w:rPr>
        <w:t> </w:t>
      </w:r>
      <w:r>
        <w:rPr>
          <w:rFonts w:ascii="Times New Roman" w:hAnsi="Times New Roman"/>
          <w:b w:val="false"/>
          <w:i w:val="false"/>
          <w:color w:val="000000"/>
          <w:sz w:val="22"/>
        </w:rPr>
        <w:t>Public safety unit determination case files. These files contain information which pertains to whether a bargaining unit is a public safety unit. An employee organization or public employer may file the documents contained in this type of case. Such files contain documents concerning the agency’s determination of that question. The records may include pleadings, notices, orders, exhibits, transcripts, docket sheets, general correspondence, attorneys’ notes, memoranda, research materials, and information compiled under the direction of the agency. Cases contain personal information of the representatives and may contain personal information of employees. Further personal information may be included in testimony, exhibits, and other documents. Cases are contained within the agency’s electronic document management system or suPERB. If the case went to hearing, the hearing may have been recorded by mechanical means, and a copy of the recording may be available. The files are maintained by the agency and are indexed by the case number. The files may contain materials which are confidential as attorney work product, settlement offers and mediators’ notes. Some materials are confidential under other applicable provisions of law. Copies of documents or hearing recordings filed in these cases may be obtained through the agency or the agency’s electronic document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12.12(11)</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Iowa Code chapter </w:t>
      </w:r>
      <w:hyperlink r:id="rId13">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 xml:space="preserve"> case files. These files contain information which pertains to objections which an employer or employee organization may make when impasse procedures are not completed prior to the applicable deadline for completion of impasse procedures, challenges which an employee organization or employer may make when the voter eligibility is challenged, and challenges which an employee organization may make postelection in retention and recertification elections. An employee organization or public employer may file the documents contained in this type of case. Further personal information may be included in testimony, exhibits, and other documents. Such files contain documents concerning the agency’s determination of the question. The records may include pleadings, notices, orders, exhibits, transcripts, docket sheets, general correspondence, attorneys’ notes, memoranda, research materials, and information compiled under the direction of the agency. Cases contain personal information of the representatives and may contain personal information of employees. Cases are contained within the agency’s electronic document management system or suPERB. If the case went to hearing, the hearing may have been recorded by mechanical means, and a copy of the recording may be available. The files are maintained by the agency and are indexed by the case number. The files may contain materials which are confidential as attorney work product, settlement offers and mediators’ notes. Some materials are confidential under other applicable provisions of law. Copies of documents or hearing recordings filed in these cases may be obtained through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12.12(12)</w:t>
      </w:r>
      <w:r>
        <w:rPr>
          <w:rFonts w:ascii="Times New Roman" w:hAnsi="Times New Roman"/>
          <w:b w:val="false"/>
          <w:i w:val="false"/>
          <w:color w:val="000000"/>
          <w:sz w:val="22"/>
        </w:rPr>
        <w:t> </w:t>
      </w:r>
      <w:r>
        <w:rPr>
          <w:rFonts w:ascii="Times New Roman" w:hAnsi="Times New Roman"/>
          <w:b w:val="false"/>
          <w:i w:val="false"/>
          <w:color w:val="000000"/>
          <w:sz w:val="22"/>
        </w:rPr>
        <w:t>Grievance, fact-finding and interest arbitration decisions. The agency maintains decisions issued by neutrals. Grievance arbitration decisions prior to the year 2000 are maintained on the agency’s database, and copies of a decision may be obtained through the agency. Grievance arbitration decisions after the year 2000 which the parties agreed could be made public can be obtained through the agency’s searchable database system. All fact-finding and interest arbitration decisions can be obtained through the agency’s searchable database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12.12(13)</w:t>
      </w:r>
      <w:r>
        <w:rPr>
          <w:rFonts w:ascii="Times New Roman" w:hAnsi="Times New Roman"/>
          <w:b w:val="false"/>
          <w:i w:val="false"/>
          <w:color w:val="000000"/>
          <w:sz w:val="22"/>
        </w:rPr>
        <w:t> </w:t>
      </w:r>
      <w:r>
        <w:rPr>
          <w:rFonts w:ascii="Times New Roman" w:hAnsi="Times New Roman"/>
          <w:b w:val="false"/>
          <w:i w:val="false"/>
          <w:color w:val="000000"/>
          <w:sz w:val="22"/>
        </w:rPr>
        <w:t xml:space="preserve">Collective bargaining agreements. The agency maintains collective bargaining agreements negotiated between the public employer and the certified employee organization. Collective bargaining agreements negotiated prior to the year 2000 are maintained on the agency’s database, and copies of these collective bargaining agreements may be obtained through the agency. Collective bargaining agreements negotiated after the year 2000 can be obtained through the agency’s searchable database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12.12(14)</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files. The agency maintains files containing information about agency employees and applicants for positions with the agency. The files contain payroll records, biographical information, medical information relating to disability, performance reviews and evaluations, disciplinary information, information required for tax withholding, information concerning employee benefits, affirmative action reports, and other information concerning the employer-employee relationship. Some of this information may be confidential under Iowa Code sections </w:t>
      </w:r>
      <w:hyperlink r:id="rId14">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12.12(15)</w:t>
      </w:r>
      <w:r>
        <w:rPr>
          <w:rFonts w:ascii="Times New Roman" w:hAnsi="Times New Roman"/>
          <w:b w:val="false"/>
          <w:i w:val="false"/>
          <w:color w:val="000000"/>
          <w:sz w:val="22"/>
        </w:rPr>
        <w:t> </w:t>
      </w:r>
      <w:r>
        <w:rPr>
          <w:rFonts w:ascii="Times New Roman" w:hAnsi="Times New Roman"/>
          <w:b w:val="false"/>
          <w:i w:val="false"/>
          <w:color w:val="000000"/>
          <w:sz w:val="22"/>
        </w:rPr>
        <w:t>Litigation files. These files or records contain information regarding litigation or anticipated litigation which involves the agency. The records include pleadings, briefs, docket sheets, documents, general correspondence, attorneys’ notes, memoranda, research materials, and investigation materials. Litigation files may be paper files and may be kept up to five years in paper format or replaced immediately in electronic format if possible. The files are indexed by the name of the opposing party or case number. The files contain materials which are confidential as attorney work product. Some materials are confidential under other applicable provisions of law. Persons who wish to obtain copies of pleadings and other documents filed in litigation should obtain these from the clerk of the appropriate court which maintains the official copy.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4457C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7011C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621—12.13</w:t>
      </w:r>
      <w:r>
        <w:rPr>
          <w:rFonts w:ascii="Times New Roman" w:hAnsi="Times New Roman"/>
          <w:b/>
          <w:i w:val="false"/>
          <w:color w:val="000000"/>
          <w:sz w:val="22"/>
        </w:rPr>
        <w:t xml:space="preserve">(17A,20,22)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agency other than record systems as defined in rule </w:t>
      </w:r>
      <w:hyperlink r:id="rId16">
        <w:r>
          <w:rPr>
            <w:rStyle w:val="Hyperlink"/>
            <w:rFonts w:ascii="Times New Roman" w:hAnsi="Times New Roman"/>
            <w:b w:val="false"/>
            <w:i w:val="false"/>
            <w:color w:val="000000"/>
            <w:sz w:val="22"/>
          </w:rPr>
          <w:t>621—12.1</w:t>
        </w:r>
      </w:hyperlink>
      <w:r>
        <w:rPr>
          <w:rFonts w:ascii="Times New Roman" w:hAnsi="Times New Roman"/>
          <w:b w:val="false"/>
          <w:i w:val="false"/>
          <w:color w:val="000000"/>
          <w:sz w:val="22"/>
        </w:rPr>
        <w:t xml:space="preserve">(17A,20,22). The records listed may contain information about individuals. Unless otherwise designated, the authority for this agency to maintain the record is provided by Iowa Code chapter </w:t>
      </w:r>
      <w:hyperlink r:id="rId17">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 the statutes governing the subject matter of the record, and the enabling statutes of the agency, where applicable. All records are stored electronically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12.13(1)</w:t>
      </w:r>
      <w:r>
        <w:rPr>
          <w:rFonts w:ascii="Times New Roman" w:hAnsi="Times New Roman"/>
          <w:b w:val="false"/>
          <w:i w:val="false"/>
          <w:color w:val="000000"/>
          <w:sz w:val="22"/>
        </w:rPr>
        <w:t> </w:t>
      </w:r>
      <w:r>
        <w:rPr>
          <w:rFonts w:ascii="Times New Roman" w:hAnsi="Times New Roman"/>
          <w:b w:val="false"/>
          <w:i w:val="false"/>
          <w:color w:val="000000"/>
          <w:sz w:val="22"/>
        </w:rPr>
        <w:t xml:space="preserve">Citizen inquiry and response files. Individuals and representatives write or email this agency on a variety of legal issues with regard to Iowa Code chapter </w:t>
      </w:r>
      <w:hyperlink r:id="rId18">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 The agency does not generally provide legal advice to individuals but may provide general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12.13(2)</w:t>
      </w:r>
      <w:r>
        <w:rPr>
          <w:rFonts w:ascii="Times New Roman" w:hAnsi="Times New Roman"/>
          <w:b w:val="false"/>
          <w:i w:val="false"/>
          <w:color w:val="000000"/>
          <w:sz w:val="22"/>
        </w:rPr>
        <w:t> </w:t>
      </w:r>
      <w:r>
        <w:rPr>
          <w:rFonts w:ascii="Times New Roman" w:hAnsi="Times New Roman"/>
          <w:b w:val="false"/>
          <w:i w:val="false"/>
          <w:color w:val="000000"/>
          <w:sz w:val="22"/>
        </w:rPr>
        <w:t xml:space="preserve">Internal agency records. These records include agendas, minutes and materials presented during 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12.13(3)</w:t>
      </w:r>
      <w:r>
        <w:rPr>
          <w:rFonts w:ascii="Times New Roman" w:hAnsi="Times New Roman"/>
          <w:b w:val="false"/>
          <w:i w:val="false"/>
          <w:color w:val="000000"/>
          <w:sz w:val="22"/>
        </w:rPr>
        <w:t> </w:t>
      </w:r>
      <w:r>
        <w:rPr>
          <w:rFonts w:ascii="Times New Roman" w:hAnsi="Times New Roman"/>
          <w:b w:val="false"/>
          <w:i w:val="false"/>
          <w:color w:val="000000"/>
          <w:sz w:val="22"/>
        </w:rPr>
        <w:t>Administrative records. These records include documents concerning budgets, property inventory, purchasing, yearly reports, office policies for employees, time sheets, and printing and supply requisitions.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12.13(4)</w:t>
      </w:r>
      <w:r>
        <w:rPr>
          <w:rFonts w:ascii="Times New Roman" w:hAnsi="Times New Roman"/>
          <w:b w:val="false"/>
          <w:i w:val="false"/>
          <w:color w:val="000000"/>
          <w:sz w:val="22"/>
        </w:rPr>
        <w:t> </w:t>
      </w:r>
      <w:r>
        <w:rPr>
          <w:rFonts w:ascii="Times New Roman" w:hAnsi="Times New Roman"/>
          <w:b w:val="false"/>
          <w:i w:val="false"/>
          <w:color w:val="000000"/>
          <w:sz w:val="22"/>
        </w:rPr>
        <w:t>Rule-making records. Official documents executed during the promulgation of agency rules and public comments are available for public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4457C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7011C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621—12.14</w:t>
      </w:r>
      <w:r>
        <w:rPr>
          <w:rFonts w:ascii="Times New Roman" w:hAnsi="Times New Roman"/>
          <w:b/>
          <w:i w:val="false"/>
          <w:color w:val="000000"/>
          <w:sz w:val="22"/>
        </w:rPr>
        <w:t xml:space="preserve">(17A,20,22) </w:t>
      </w:r>
      <w:r>
        <w:rPr>
          <w:rFonts w:ascii="Times New Roman" w:hAnsi="Times New Roman"/>
          <w:b/>
          <w:i w:val="false"/>
          <w:color w:val="000000"/>
          <w:sz w:val="22"/>
        </w:rPr>
        <w:t xml:space="preserve">Data processing systems. </w:t>
      </w:r>
      <w:r>
        <w:rPr>
          <w:rFonts w:ascii="Times New Roman" w:hAnsi="Times New Roman"/>
          <w:b w:val="false"/>
          <w:i w:val="false"/>
          <w:color w:val="000000"/>
          <w:sz w:val="22"/>
        </w:rPr>
        <w:t>None of the data processing systems used by the agency compare personally identifiable information in one record system with personally identifiable information in another record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4457C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621—12.15</w:t>
      </w:r>
      <w:r>
        <w:rPr>
          <w:rFonts w:ascii="Times New Roman" w:hAnsi="Times New Roman"/>
          <w:b/>
          <w:i w:val="false"/>
          <w:color w:val="000000"/>
          <w:sz w:val="22"/>
        </w:rPr>
        <w:t xml:space="preserve">(17A,20,22)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Rescinded by 2026 Iowa Acts, Senate File 2463, section 4, effective July 1, 2026. </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emergency 9/19/88—published 10/5/88, effective 9/19/88]</w:t>
      </w:r>
    </w:p>
    <w:p>
      <w:pPr>
        <w:spacing w:before="0" w:after="0"/>
        <w:ind w:left="120"/>
        <w:jc w:val="center"/>
      </w:pPr>
      <w:r>
        <w:rPr>
          <w:rFonts w:ascii="Times New Roman" w:hAnsi="Times New Roman"/>
          <w:b w:val="false"/>
          <w:i w:val="false"/>
          <w:color w:val="000000"/>
          <w:sz w:val="21"/>
        </w:rPr>
        <w:t>[Filed 4/18/89, Notice 10/5/88—published 5/3/89, effective 6/7/89]</w:t>
      </w:r>
    </w:p>
    <w:p>
      <w:pPr>
        <w:spacing w:before="0" w:after="0"/>
        <w:ind w:left="120"/>
        <w:jc w:val="center"/>
      </w:pPr>
      <w:r>
        <w:rPr>
          <w:rFonts w:ascii="Times New Roman" w:hAnsi="Times New Roman"/>
          <w:b w:val="false"/>
          <w:i w:val="false"/>
          <w:color w:val="000000"/>
          <w:sz w:val="21"/>
        </w:rPr>
        <w:t>[Filed emergency 11/18/94—published 12/7/94, effective 11/21/94]</w:t>
      </w:r>
    </w:p>
    <w:p>
      <w:pPr>
        <w:spacing w:before="0" w:after="0"/>
        <w:ind w:left="120"/>
        <w:jc w:val="center"/>
      </w:pPr>
      <w:r>
        <w:rPr>
          <w:rFonts w:ascii="Times New Roman" w:hAnsi="Times New Roman"/>
          <w:b w:val="false"/>
          <w:i w:val="false"/>
          <w:color w:val="000000"/>
          <w:sz w:val="21"/>
        </w:rPr>
        <w:t>[Filed 1/11/95, Notice 12/7/94—published 2/1/95, effective 3/8/95]</w:t>
      </w:r>
    </w:p>
    <w:p>
      <w:pPr>
        <w:spacing w:before="0" w:after="0"/>
        <w:ind w:left="120"/>
        <w:jc w:val="center"/>
      </w:pPr>
      <w:r>
        <w:rPr>
          <w:rFonts w:ascii="Times New Roman" w:hAnsi="Times New Roman"/>
          <w:b w:val="false"/>
          <w:i w:val="false"/>
          <w:color w:val="000000"/>
          <w:sz w:val="21"/>
        </w:rPr>
        <w:t>[Filed 4/15/99, Notice 3/10/99—published 5/5/99, effective 7/1/99]</w:t>
      </w:r>
    </w:p>
    <w:p>
      <w:pPr>
        <w:spacing w:before="0" w:after="0"/>
        <w:ind w:left="120"/>
        <w:jc w:val="center"/>
      </w:pPr>
      <w:r>
        <w:rPr>
          <w:rFonts w:ascii="Times New Roman" w:hAnsi="Times New Roman"/>
          <w:b w:val="false"/>
          <w:i w:val="false"/>
          <w:color w:val="000000"/>
          <w:sz w:val="21"/>
        </w:rPr>
        <w:t>[Filed emergency 7/1/04—published 7/21/04, effective 7/30/04]</w:t>
      </w:r>
    </w:p>
    <w:p>
      <w:pPr>
        <w:spacing w:before="0" w:after="0"/>
        <w:ind w:left="120"/>
        <w:jc w:val="center"/>
      </w:pPr>
      <w:r>
        <w:rPr>
          <w:rFonts w:ascii="Times New Roman" w:hAnsi="Times New Roman"/>
          <w:b w:val="false"/>
          <w:i w:val="false"/>
          <w:color w:val="000000"/>
          <w:sz w:val="21"/>
        </w:rPr>
        <w:t>[Filed ARC 4457C</w:t>
      </w:r>
      <w:r>
        <w:rPr>
          <w:rFonts w:ascii="Times New Roman" w:hAnsi="Times New Roman"/>
          <w:b w:val="false"/>
          <w:i w:val="false"/>
          <w:color w:val="000000"/>
          <w:sz w:val="21"/>
        </w:rPr>
        <w:t xml:space="preserve"> (Notice ARC 4365C, IAB 3/27/19)</w:t>
      </w:r>
      <w:r>
        <w:rPr>
          <w:rFonts w:ascii="Times New Roman" w:hAnsi="Times New Roman"/>
          <w:b w:val="false"/>
          <w:i w:val="false"/>
          <w:color w:val="000000"/>
          <w:sz w:val="21"/>
        </w:rPr>
        <w:t>, IAB 5/22/19, effective 6/26/19]</w:t>
      </w:r>
    </w:p>
    <w:p>
      <w:pPr>
        <w:spacing w:before="0" w:after="0"/>
        <w:ind w:left="120"/>
        <w:jc w:val="center"/>
      </w:pPr>
      <w:r>
        <w:rPr>
          <w:rFonts w:ascii="Times New Roman" w:hAnsi="Times New Roman"/>
          <w:b w:val="false"/>
          <w:i w:val="false"/>
          <w:color w:val="000000"/>
          <w:sz w:val="21"/>
        </w:rPr>
        <w:t>[Filed ARC 7011C</w:t>
      </w:r>
      <w:r>
        <w:rPr>
          <w:rFonts w:ascii="Times New Roman" w:hAnsi="Times New Roman"/>
          <w:b w:val="false"/>
          <w:i w:val="false"/>
          <w:color w:val="000000"/>
          <w:sz w:val="21"/>
        </w:rPr>
        <w:t xml:space="preserve"> (Notice ARC 6912C, IAB 2/22/23)</w:t>
      </w:r>
      <w:r>
        <w:rPr>
          <w:rFonts w:ascii="Times New Roman" w:hAnsi="Times New Roman"/>
          <w:b w:val="false"/>
          <w:i w:val="false"/>
          <w:color w:val="000000"/>
          <w:sz w:val="21"/>
        </w:rPr>
        <w:t>, IAB 5/3/23, effective 6/7/23]</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2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7.pdf" Type="http://schemas.openxmlformats.org/officeDocument/2006/relationships/hyperlink" Id="rId5"/>
    <Relationship TargetMode="External" Target="https://www.legis.iowa.gov/docs/ico/chapter/22.pdf" Type="http://schemas.openxmlformats.org/officeDocument/2006/relationships/hyperlink" Id="rId6"/>
    <Relationship TargetMode="External" Target="https://www.legis.iowa.gov/docs/ico/chapter/22.1.pdf" Type="http://schemas.openxmlformats.org/officeDocument/2006/relationships/hyperlink" Id="rId7"/>
    <Relationship TargetMode="External" Target="https://www.legis.iowa.gov/docs/ico/chapter/22.pdf" Type="http://schemas.openxmlformats.org/officeDocument/2006/relationships/hyperlink" Id="rId8"/>
    <Relationship TargetMode="External" Target="https://www.legis.iowa.gov/docs/iac/rule/621.12.1.pdf" Type="http://schemas.openxmlformats.org/officeDocument/2006/relationships/hyperlink" Id="rId9"/>
    <Relationship TargetMode="External" Target="https://www.legis.iowa.gov/docs/ico/chapter/20.pdf" Type="http://schemas.openxmlformats.org/officeDocument/2006/relationships/hyperlink" Id="rId10"/>
    <Relationship TargetMode="External" Target="https://www.legis.iowa.gov/docs/ico/chapter/20.pdf" Type="http://schemas.openxmlformats.org/officeDocument/2006/relationships/hyperlink" Id="rId11"/>
    <Relationship TargetMode="External" Target="https://www.legis.iowa.gov/docs/ico/chapter/20.9.pdf" Type="http://schemas.openxmlformats.org/officeDocument/2006/relationships/hyperlink" Id="rId12"/>
    <Relationship TargetMode="External" Target="https://www.legis.iowa.gov/docs/ico/chapter/20.pdf" Type="http://schemas.openxmlformats.org/officeDocument/2006/relationships/hyperlink" Id="rId13"/>
    <Relationship TargetMode="External" Target="https://www.legis.iowa.gov/docs/ico/chapter/22.7.pdf" Type="http://schemas.openxmlformats.org/officeDocument/2006/relationships/hyperlink" Id="rId14"/>
    <Relationship TargetMode="External" Target="https://www.legis.iowa.gov/docs/ico/chapter/22.7.pdf" Type="http://schemas.openxmlformats.org/officeDocument/2006/relationships/hyperlink" Id="rId15"/>
    <Relationship TargetMode="External" Target="https://www.legis.iowa.gov/docs/iac/rule/621.12.1.pdf" Type="http://schemas.openxmlformats.org/officeDocument/2006/relationships/hyperlink" Id="rId16"/>
    <Relationship TargetMode="External" Target="https://www.legis.iowa.gov/docs/ico/chapter/20.pdf" Type="http://schemas.openxmlformats.org/officeDocument/2006/relationships/hyperlink" Id="rId17"/>
    <Relationship TargetMode="External" Target="https://www.legis.iowa.gov/docs/ico/chapter/20.pdf" Type="http://schemas.openxmlformats.org/officeDocument/2006/relationships/hyperlink" Id="rId18"/>
    <Relationship TargetMode="External" Target="https://www.legis.iowa.gov/docs/ico/chapter/17A.pdf" Type="http://schemas.openxmlformats.org/officeDocument/2006/relationships/hyperlink" Id="rId19"/>
    <Relationship TargetMode="External" Target="https://www.legis.iowa.gov/docs/ico/chapter/20.pdf" Type="http://schemas.openxmlformats.org/officeDocument/2006/relationships/hyperlink" Id="rId20"/>
    <Relationship TargetMode="External" Target="https://www.legis.iowa.gov/docs/ico/chapter/22.pdf" Type="http://schemas.openxmlformats.org/officeDocument/2006/relationships/hyperlink" Id="rId21"/>
    <Relationship Target="footer.xml" Type="http://schemas.openxmlformats.org/officeDocument/2006/relationships/footer"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