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STATE EMPLOYEE APPEALS OF GRIEVANCE DECISIONS</w:t>
      </w:r>
      <w:r>
        <w:br/>
      </w:r>
      <w:r>
        <w:rPr>
          <w:rFonts w:ascii="Times New Roman" w:hAnsi="Times New Roman"/>
          <w:b w:val="false"/>
          <w:i w:val="false"/>
          <w:color w:val="000000"/>
          <w:sz w:val="21"/>
        </w:rPr>
        <w:t>AND DISCIPLINARY ACTIONS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621—11.1</w:t>
      </w:r>
      <w:r>
        <w:rPr>
          <w:rFonts w:ascii="Times New Roman" w:hAnsi="Times New Roman"/>
          <w:b/>
          <w:i w:val="false"/>
          <w:color w:val="000000"/>
          <w:sz w:val="22"/>
        </w:rPr>
        <w:t xml:space="preserve">(8A,20) </w:t>
      </w:r>
      <w:r>
        <w:rPr>
          <w:rFonts w:ascii="Times New Roman" w:hAnsi="Times New Roman"/>
          <w:b/>
          <w:i w:val="false"/>
          <w:color w:val="000000"/>
          <w:sz w:val="22"/>
        </w:rPr>
        <w:t xml:space="preserve">Notice of appeal rights. </w:t>
      </w:r>
      <w:r>
        <w:rPr>
          <w:rFonts w:ascii="Times New Roman" w:hAnsi="Times New Roman"/>
          <w:b w:val="false"/>
          <w:i w:val="false"/>
          <w:color w:val="000000"/>
          <w:sz w:val="22"/>
        </w:rPr>
        <w:t xml:space="preserve">When the director of the Iowa department of administrative services (hereinafter referred to as the director) issues a response to an employee pursuant to Iowa Code section </w:t>
      </w:r>
      <w:hyperlink r:id="rId5">
        <w:r>
          <w:rPr>
            <w:rStyle w:val="Hyperlink"/>
            <w:rFonts w:ascii="Times New Roman" w:hAnsi="Times New Roman"/>
            <w:b w:val="false"/>
            <w:i w:val="false"/>
            <w:color w:val="000000"/>
            <w:sz w:val="22"/>
          </w:rPr>
          <w:t>8A.415</w:t>
        </w:r>
      </w:hyperlink>
      <w:r>
        <w:rPr>
          <w:rFonts w:ascii="Times New Roman" w:hAnsi="Times New Roman"/>
          <w:b w:val="false"/>
          <w:i w:val="false"/>
          <w:color w:val="000000"/>
          <w:sz w:val="22"/>
        </w:rPr>
        <w:t xml:space="preserve"> and the response does not grant the relief sought by the employee, the response shall include notice to the affected employee that the employee may appeal the response by filing an appeal with the public employment relations board within 30 days of the date of the director’s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621—11.2</w:t>
      </w:r>
      <w:r>
        <w:rPr>
          <w:rFonts w:ascii="Times New Roman" w:hAnsi="Times New Roman"/>
          <w:b/>
          <w:i w:val="false"/>
          <w:color w:val="000000"/>
          <w:sz w:val="22"/>
        </w:rPr>
        <w:t xml:space="preserve">(8A,20) </w:t>
      </w:r>
      <w:r>
        <w:rPr>
          <w:rFonts w:ascii="Times New Roman" w:hAnsi="Times New Roman"/>
          <w:b/>
          <w:i w:val="false"/>
          <w:color w:val="000000"/>
          <w:sz w:val="22"/>
        </w:rPr>
        <w:t xml:space="preserve">Filing of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Grievances. </w:t>
      </w:r>
      <w:r>
        <w:rPr>
          <w:rFonts w:ascii="Times New Roman" w:hAnsi="Times New Roman"/>
          <w:b w:val="false"/>
          <w:i w:val="false"/>
          <w:color w:val="000000"/>
          <w:sz w:val="22"/>
        </w:rPr>
        <w:t>An employee, except an employee covered by a collective bargaining agreement that provides otherwise, who has filed a grievance and is not satisfied with the director’s response, may file an appeal with the agency. Such appeal must be filed within 30 calendar days following the date the director’s response was issued. However, if no response was issued by the director within 30 calendar days following the filing of the third-step grievance with the director, the employee may consider the grievance denied and file an appeal with the agency or may await the director’s response and, if not satisfied, file an appeal within 30 days following the date the response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Disciplinary appeals. </w:t>
      </w:r>
      <w:r>
        <w:rPr>
          <w:rFonts w:ascii="Times New Roman" w:hAnsi="Times New Roman"/>
          <w:b w:val="false"/>
          <w:i w:val="false"/>
          <w:color w:val="000000"/>
          <w:sz w:val="22"/>
        </w:rPr>
        <w:t xml:space="preserve">A nonprobationary merit system employee as described in Iowa Code section </w:t>
      </w:r>
      <w:hyperlink r:id="rId6">
        <w:r>
          <w:rPr>
            <w:rStyle w:val="Hyperlink"/>
            <w:rFonts w:ascii="Times New Roman" w:hAnsi="Times New Roman"/>
            <w:b w:val="false"/>
            <w:i w:val="false"/>
            <w:color w:val="000000"/>
            <w:sz w:val="22"/>
          </w:rPr>
          <w:t>8A.412</w:t>
        </w:r>
      </w:hyperlink>
      <w:r>
        <w:rPr>
          <w:rFonts w:ascii="Times New Roman" w:hAnsi="Times New Roman"/>
          <w:b w:val="false"/>
          <w:i w:val="false"/>
          <w:color w:val="000000"/>
          <w:sz w:val="22"/>
        </w:rPr>
        <w:t>, except an employee covered by a collective bargaining agreement, who is discharged, suspended, demoted, or otherwise receives a reduction in pay, and who appeals the action to the director and is not satisfied with the director’s response, may file an appeal with the agency. Such appeal must be filed within 30 calendar days following the date the director’s response was issued. However, if no response was issued by the director within 30 calendar days following the filing of the third-step grievance with the director, the employee may consider the grievance denied and file an appeal with the agency or may await the director’s response and, if not satisfied, file an appeal within 30 days following the date the response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color w:val="000000"/>
          <w:sz w:val="22"/>
        </w:rPr>
        <w:t xml:space="preserve">Method of filing. </w:t>
      </w:r>
      <w:r>
        <w:rPr>
          <w:rFonts w:ascii="Times New Roman" w:hAnsi="Times New Roman"/>
          <w:b w:val="false"/>
          <w:i w:val="false"/>
          <w:color w:val="000000"/>
          <w:sz w:val="22"/>
        </w:rPr>
        <w:t xml:space="preserve">Appeals shall be electronically filed pursuant to </w:t>
      </w:r>
      <w:hyperlink r:id="rId7">
        <w:r>
          <w:rPr>
            <w:rStyle w:val="Hyperlink"/>
            <w:rFonts w:ascii="Times New Roman" w:hAnsi="Times New Roman"/>
            <w:b w:val="false"/>
            <w:i w:val="false"/>
            <w:color w:val="000000"/>
            <w:sz w:val="22"/>
          </w:rPr>
          <w:t>621—Chapter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621—11.3</w:t>
      </w:r>
      <w:r>
        <w:rPr>
          <w:rFonts w:ascii="Times New Roman" w:hAnsi="Times New Roman"/>
          <w:b/>
          <w:i w:val="false"/>
          <w:color w:val="000000"/>
          <w:sz w:val="22"/>
        </w:rPr>
        <w:t xml:space="preserve">(8A,20) </w:t>
      </w:r>
      <w:r>
        <w:rPr>
          <w:rFonts w:ascii="Times New Roman" w:hAnsi="Times New Roman"/>
          <w:b/>
          <w:i w:val="false"/>
          <w:color w:val="000000"/>
          <w:sz w:val="22"/>
        </w:rPr>
        <w:t xml:space="preserve">Service of appeal. </w:t>
      </w:r>
      <w:r>
        <w:rPr>
          <w:rFonts w:ascii="Times New Roman" w:hAnsi="Times New Roman"/>
          <w:b w:val="false"/>
          <w:i w:val="false"/>
          <w:color w:val="000000"/>
          <w:sz w:val="22"/>
        </w:rPr>
        <w:t xml:space="preserve">The agency shall serve a copy of the appeal upon the director by ordinary mail in the manner specified in rules </w:t>
      </w:r>
      <w:hyperlink r:id="rId8">
        <w:r>
          <w:rPr>
            <w:rStyle w:val="Hyperlink"/>
            <w:rFonts w:ascii="Times New Roman" w:hAnsi="Times New Roman"/>
            <w:b w:val="false"/>
            <w:i w:val="false"/>
            <w:color w:val="000000"/>
            <w:sz w:val="22"/>
          </w:rPr>
          <w:t>621—2.15</w:t>
        </w:r>
      </w:hyperlink>
      <w:r>
        <w:rPr>
          <w:rFonts w:ascii="Times New Roman" w:hAnsi="Times New Roman"/>
          <w:b w:val="false"/>
          <w:i w:val="false"/>
          <w:color w:val="000000"/>
          <w:sz w:val="22"/>
        </w:rPr>
        <w:t xml:space="preserve">(20) and </w:t>
      </w:r>
      <w:hyperlink r:id="rId9">
        <w:r>
          <w:rPr>
            <w:rStyle w:val="Hyperlink"/>
            <w:rFonts w:ascii="Times New Roman" w:hAnsi="Times New Roman"/>
            <w:b w:val="false"/>
            <w:i w:val="false"/>
            <w:color w:val="000000"/>
            <w:sz w:val="22"/>
          </w:rPr>
          <w:t>621—16.10</w:t>
        </w:r>
      </w:hyperlink>
      <w:r>
        <w:rPr>
          <w:rFonts w:ascii="Times New Roman" w:hAnsi="Times New Roman"/>
          <w:b w:val="false"/>
          <w:i w:val="false"/>
          <w:color w:val="000000"/>
          <w:sz w:val="22"/>
        </w:rPr>
        <w:t>(20).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621—11.4</w:t>
      </w:r>
      <w:r>
        <w:rPr>
          <w:rFonts w:ascii="Times New Roman" w:hAnsi="Times New Roman"/>
          <w:b/>
          <w:i w:val="false"/>
          <w:color w:val="000000"/>
          <w:sz w:val="22"/>
        </w:rPr>
        <w:t xml:space="preserve">(8A,20) </w:t>
      </w:r>
      <w:r>
        <w:rPr>
          <w:rFonts w:ascii="Times New Roman" w:hAnsi="Times New Roman"/>
          <w:b/>
          <w:i w:val="false"/>
          <w:color w:val="000000"/>
          <w:sz w:val="22"/>
        </w:rPr>
        <w:t xml:space="preserve">Content of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The appeal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telephone number, and e-mail address of the appealing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agency/department by which the appealing employee is/was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reasons for the appealing employee’s dissatisfaction with the director’s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of the requested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e-mail address of the appealing employee’s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Signature of the appealing employee or employee’s representative;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disciplinary action appeal filed pursuant to Iowa Code section </w:t>
      </w:r>
      <w:hyperlink r:id="rId10">
        <w:r>
          <w:rPr>
            <w:rStyle w:val="Hyperlink"/>
            <w:rFonts w:ascii="Times New Roman" w:hAnsi="Times New Roman"/>
            <w:b w:val="false"/>
            <w:i w:val="false"/>
            <w:color w:val="000000"/>
            <w:sz w:val="22"/>
          </w:rPr>
          <w:t>8A.415(2)</w:t>
        </w:r>
      </w:hyperlink>
      <w:r>
        <w:rPr>
          <w:rFonts w:ascii="Times New Roman" w:hAnsi="Times New Roman"/>
          <w:b w:val="false"/>
          <w:i w:val="false"/>
          <w:color w:val="000000"/>
          <w:sz w:val="22"/>
        </w:rPr>
        <w:t>, a statement of whether the employee requests a hearing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Completion of the State Employee Grievance and Disciplinary Action Appeal Form shall constitute compliance with all the requirements in subrule </w:t>
      </w:r>
      <w:r>
        <w:rPr>
          <w:rFonts w:ascii="Times New Roman" w:hAnsi="Times New Roman"/>
          <w:b w:val="false"/>
          <w:i w:val="false"/>
          <w:color w:val="000000"/>
          <w:sz w:val="22"/>
        </w:rPr>
        <w:t>11.4(1)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621—11.5</w:t>
      </w:r>
      <w:r>
        <w:rPr>
          <w:rFonts w:ascii="Times New Roman" w:hAnsi="Times New Roman"/>
          <w:b/>
          <w:i w:val="false"/>
          <w:color w:val="000000"/>
          <w:sz w:val="22"/>
        </w:rPr>
        <w:t xml:space="preserve">(8A,20) </w:t>
      </w:r>
      <w:r>
        <w:rPr>
          <w:rFonts w:ascii="Times New Roman" w:hAnsi="Times New Roman"/>
          <w:b/>
          <w:i w:val="false"/>
          <w:color w:val="000000"/>
          <w:sz w:val="22"/>
        </w:rPr>
        <w:t xml:space="preserve">Content of director’s response to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val="false"/>
          <w:color w:val="000000"/>
          <w:sz w:val="22"/>
        </w:rPr>
        <w:t>The director shall have 15 days from the date of service of the employee’s appeal in which to file a motion or answer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val="false"/>
          <w:color w:val="000000"/>
          <w:sz w:val="22"/>
        </w:rPr>
        <w:t>The motion or answer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of the appealing employee and the employing agency/department;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e-mail address of the employing agency’s/department’s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original grievance and first-, second-, and third-step responses issued;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Signature of the employing agency’s/department’s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director’s motion or answer shall be electronically filed pursuant to </w:t>
      </w:r>
      <w:hyperlink r:id="rId11">
        <w:r>
          <w:rPr>
            <w:rStyle w:val="Hyperlink"/>
            <w:rFonts w:ascii="Times New Roman" w:hAnsi="Times New Roman"/>
            <w:b w:val="false"/>
            <w:i w:val="false"/>
            <w:color w:val="000000"/>
            <w:sz w:val="22"/>
          </w:rPr>
          <w:t>621—Chapter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621—11.6</w:t>
      </w:r>
      <w:r>
        <w:rPr>
          <w:rFonts w:ascii="Times New Roman" w:hAnsi="Times New Roman"/>
          <w:b/>
          <w:i w:val="false"/>
          <w:color w:val="000000"/>
          <w:sz w:val="22"/>
        </w:rPr>
        <w:t xml:space="preserve">(8A,20) </w:t>
      </w:r>
      <w:r>
        <w:rPr>
          <w:rFonts w:ascii="Times New Roman" w:hAnsi="Times New Roman"/>
          <w:b/>
          <w:i w:val="false"/>
          <w:color w:val="000000"/>
          <w:sz w:val="22"/>
        </w:rPr>
        <w:t xml:space="preserve">Right to a hearing. </w:t>
      </w:r>
      <w:r>
        <w:rPr>
          <w:rFonts w:ascii="Times New Roman" w:hAnsi="Times New Roman"/>
          <w:b w:val="false"/>
          <w:i w:val="false"/>
          <w:color w:val="000000"/>
          <w:sz w:val="22"/>
        </w:rPr>
        <w:t xml:space="preserve">An employee appealing a grievance pursuant to Iowa Code section </w:t>
      </w:r>
      <w:hyperlink r:id="rId12">
        <w:r>
          <w:rPr>
            <w:rStyle w:val="Hyperlink"/>
            <w:rFonts w:ascii="Times New Roman" w:hAnsi="Times New Roman"/>
            <w:b w:val="false"/>
            <w:i w:val="false"/>
            <w:color w:val="000000"/>
            <w:sz w:val="22"/>
          </w:rPr>
          <w:t>8A.415(1)</w:t>
        </w:r>
      </w:hyperlink>
      <w:r>
        <w:rPr>
          <w:rFonts w:ascii="Times New Roman" w:hAnsi="Times New Roman"/>
          <w:b w:val="false"/>
          <w:i w:val="false"/>
          <w:color w:val="000000"/>
          <w:sz w:val="22"/>
        </w:rPr>
        <w:t xml:space="preserve"> has a right to a hearing, which is open to the public. An employee appealing disciplinary action pursuant to Iowa Code section </w:t>
      </w:r>
      <w:hyperlink r:id="rId13">
        <w:r>
          <w:rPr>
            <w:rStyle w:val="Hyperlink"/>
            <w:rFonts w:ascii="Times New Roman" w:hAnsi="Times New Roman"/>
            <w:b w:val="false"/>
            <w:i w:val="false"/>
            <w:color w:val="000000"/>
            <w:sz w:val="22"/>
          </w:rPr>
          <w:t>8A.415(2)</w:t>
        </w:r>
      </w:hyperlink>
      <w:r>
        <w:rPr>
          <w:rFonts w:ascii="Times New Roman" w:hAnsi="Times New Roman"/>
          <w:b w:val="false"/>
          <w:i w:val="false"/>
          <w:color w:val="000000"/>
          <w:sz w:val="22"/>
        </w:rPr>
        <w:t xml:space="preserve"> has a right to a hearing, which is closed to the public unless the employee requests a hearing open to the public. Hearings will otherwise be conducted in accordance with </w:t>
      </w:r>
      <w:hyperlink r:id="rId14">
        <w:r>
          <w:rPr>
            <w:rStyle w:val="Hyperlink"/>
            <w:rFonts w:ascii="Times New Roman" w:hAnsi="Times New Roman"/>
            <w:b w:val="false"/>
            <w:i w:val="false"/>
            <w:color w:val="000000"/>
            <w:sz w:val="22"/>
          </w:rPr>
          <w:t>621—Chapter 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621—11.7</w:t>
      </w:r>
      <w:r>
        <w:rPr>
          <w:rFonts w:ascii="Times New Roman" w:hAnsi="Times New Roman"/>
          <w:b/>
          <w:i w:val="false"/>
          <w:color w:val="000000"/>
          <w:sz w:val="22"/>
        </w:rPr>
        <w:t xml:space="preserve">(8A,20) </w:t>
      </w:r>
      <w:r>
        <w:rPr>
          <w:rFonts w:ascii="Times New Roman" w:hAnsi="Times New Roman"/>
          <w:b/>
          <w:i w:val="false"/>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val="false"/>
          <w:color w:val="000000"/>
          <w:sz w:val="22"/>
        </w:rPr>
        <w:t>When a majority of the board presides at the reception of the evidence in a grievance or disciplinary action appeal, the decision of the board is the final decision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val="false"/>
          <w:color w:val="000000"/>
          <w:sz w:val="22"/>
        </w:rPr>
        <w:t>When a majority of the board does not preside at the reception of the evidence in a grievance or disciplinary appeal, the presiding officer shall make a proposed decision that becomes the final decision of the agency without further proceedings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petition for the board’s review filed within 20 days of the filing of the proposed decision,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within 20 days of the filing of the proposed decision, determines to review the decision on its own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621—11.8</w:t>
      </w:r>
      <w:r>
        <w:rPr>
          <w:rFonts w:ascii="Times New Roman" w:hAnsi="Times New Roman"/>
          <w:b/>
          <w:i w:val="false"/>
          <w:color w:val="000000"/>
          <w:sz w:val="22"/>
        </w:rPr>
        <w:t xml:space="preserve">(8A,20) </w:t>
      </w:r>
      <w:r>
        <w:rPr>
          <w:rFonts w:ascii="Times New Roman" w:hAnsi="Times New Roman"/>
          <w:b/>
          <w:i w:val="false"/>
          <w:color w:val="000000"/>
          <w:sz w:val="22"/>
        </w:rPr>
        <w:t xml:space="preserve">Review by board. </w:t>
      </w:r>
      <w:r>
        <w:rPr>
          <w:rFonts w:ascii="Times New Roman" w:hAnsi="Times New Roman"/>
          <w:b w:val="false"/>
          <w:i w:val="false"/>
          <w:color w:val="000000"/>
          <w:sz w:val="22"/>
        </w:rPr>
        <w:t xml:space="preserve">Proceedings on the board’s review of the proposed decision shall be in accordance with </w:t>
      </w:r>
      <w:hyperlink r:id="rId15">
        <w:r>
          <w:rPr>
            <w:rStyle w:val="Hyperlink"/>
            <w:rFonts w:ascii="Times New Roman" w:hAnsi="Times New Roman"/>
            <w:b w:val="false"/>
            <w:i w:val="false"/>
            <w:color w:val="000000"/>
            <w:sz w:val="22"/>
          </w:rPr>
          <w:t>621—Chapter 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621—11.9</w:t>
      </w:r>
      <w:r>
        <w:rPr>
          <w:rFonts w:ascii="Times New Roman" w:hAnsi="Times New Roman"/>
          <w:b/>
          <w:i w:val="false"/>
          <w:color w:val="000000"/>
          <w:sz w:val="22"/>
        </w:rPr>
        <w:t xml:space="preserve">(8A,20) </w:t>
      </w:r>
      <w:r>
        <w:rPr>
          <w:rFonts w:ascii="Times New Roman" w:hAnsi="Times New Roman"/>
          <w:b/>
          <w:i w:val="false"/>
          <w:color w:val="000000"/>
          <w:sz w:val="22"/>
        </w:rPr>
        <w:t xml:space="preserve">Costs of certified shorthand reporters and transcripts.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Initial payment. </w:t>
      </w:r>
      <w:r>
        <w:rPr>
          <w:rFonts w:ascii="Times New Roman" w:hAnsi="Times New Roman"/>
          <w:b w:val="false"/>
          <w:i w:val="false"/>
          <w:color w:val="000000"/>
          <w:sz w:val="22"/>
        </w:rPr>
        <w:t>The agency will arrange for a certified shorthand reporter to report the contested case hearing and request that an original transcript of the hearing be prepared by the reporter for the agency’s use. The agency initially shall pay the reporter’s reasonable compensation for reporting the hearing and producing the agency-requested transcript.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Taxation as costs. </w:t>
      </w:r>
      <w:r>
        <w:rPr>
          <w:rFonts w:ascii="Times New Roman" w:hAnsi="Times New Roman"/>
          <w:b w:val="false"/>
          <w:i w:val="false"/>
          <w:color w:val="000000"/>
          <w:sz w:val="22"/>
        </w:rPr>
        <w:t>The cost of reporting and of the agency-requested transcript shall be taxed as costs against the nonprevailing party or parties although the presiding officer, or the board on appeal or review of a proposed decision and order, may apportion such costs in another manner if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color w:val="000000"/>
          <w:sz w:val="22"/>
        </w:rPr>
        <w:t xml:space="preserve">Payment of taxed costs. </w:t>
      </w:r>
      <w:r>
        <w:rPr>
          <w:rFonts w:ascii="Times New Roman" w:hAnsi="Times New Roman"/>
          <w:b w:val="false"/>
          <w:i w:val="false"/>
          <w:color w:val="000000"/>
          <w:sz w:val="22"/>
        </w:rPr>
        <w:t xml:space="preserve">Following final agency action in a case, the agency will prepare and serve a bill of costs upon the party or parties against whom the costs have been taxed. Those parties shall, within 30 days of such service, remit to the agency the amount specified in the bill of costs. Sums remitted to the agency shall be considered repayment receipts as defined in Iowa Code section </w:t>
      </w:r>
      <w:hyperlink r:id="rId16">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621—11.10</w:t>
      </w:r>
      <w:r>
        <w:rPr>
          <w:rFonts w:ascii="Times New Roman" w:hAnsi="Times New Roman"/>
          <w:b/>
          <w:i w:val="false"/>
          <w:color w:val="000000"/>
          <w:sz w:val="22"/>
        </w:rPr>
        <w:t xml:space="preserve">(8A,20) </w:t>
      </w:r>
      <w:r>
        <w:rPr>
          <w:rFonts w:ascii="Times New Roman" w:hAnsi="Times New Roman"/>
          <w:b/>
          <w:i w:val="false"/>
          <w:color w:val="000000"/>
          <w:sz w:val="22"/>
        </w:rPr>
        <w:t xml:space="preserve">Other rules. </w:t>
      </w:r>
      <w:r>
        <w:rPr>
          <w:rFonts w:ascii="Times New Roman" w:hAnsi="Times New Roman"/>
          <w:b w:val="false"/>
          <w:i w:val="false"/>
          <w:color w:val="000000"/>
          <w:sz w:val="22"/>
        </w:rPr>
        <w:t>Any matters not specifically addressed by the rules contained in this chapter shall be governed by the general provisions of the rules of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8/4/86—published 8/27/86, effective 8/4/86]</w:t>
      </w:r>
    </w:p>
    <w:p>
      <w:pPr>
        <w:spacing w:before="0" w:after="0"/>
        <w:ind w:left="120"/>
        <w:jc w:val="center"/>
      </w:pPr>
      <w:r>
        <w:rPr>
          <w:rFonts w:ascii="Times New Roman" w:hAnsi="Times New Roman"/>
          <w:b w:val="false"/>
          <w:i w:val="false"/>
          <w:color w:val="000000"/>
          <w:sz w:val="21"/>
        </w:rPr>
        <w:t>[Filed 10/15/86, Notice 8/27/86—published 11/5/86, effective 12/10/86]</w:t>
      </w:r>
    </w:p>
    <w:p>
      <w:pPr>
        <w:spacing w:before="0" w:after="0"/>
        <w:ind w:left="120"/>
        <w:jc w:val="center"/>
      </w:pPr>
      <w:r>
        <w:rPr>
          <w:rFonts w:ascii="Times New Roman" w:hAnsi="Times New Roman"/>
          <w:b w:val="false"/>
          <w:i w:val="false"/>
          <w:color w:val="000000"/>
          <w:sz w:val="21"/>
        </w:rPr>
        <w:t>[Filed emergency 9/30/88—published 10/19/88, effective 9/30/88]</w:t>
      </w:r>
    </w:p>
    <w:p>
      <w:pPr>
        <w:spacing w:before="0" w:after="0"/>
        <w:ind w:left="120"/>
        <w:jc w:val="center"/>
      </w:pPr>
      <w:r>
        <w:rPr>
          <w:rFonts w:ascii="Times New Roman" w:hAnsi="Times New Roman"/>
          <w:b w:val="false"/>
          <w:i w:val="false"/>
          <w:color w:val="000000"/>
          <w:sz w:val="21"/>
        </w:rPr>
        <w:t>[Filed 2/1/89, Notice 12/28/88—published 2/22/89, effective 3/30/89]</w:t>
      </w:r>
    </w:p>
    <w:p>
      <w:pPr>
        <w:spacing w:before="0" w:after="0"/>
        <w:ind w:left="120"/>
        <w:jc w:val="center"/>
      </w:pPr>
      <w:r>
        <w:rPr>
          <w:rFonts w:ascii="Times New Roman" w:hAnsi="Times New Roman"/>
          <w:b w:val="false"/>
          <w:i w:val="false"/>
          <w:color w:val="000000"/>
          <w:sz w:val="21"/>
        </w:rPr>
        <w:t>[Filed 1/22/97, Notice 12/18/96—published 2/12/97, effective 3/18/97]</w:t>
      </w:r>
    </w:p>
    <w:p>
      <w:pPr>
        <w:spacing w:before="0" w:after="0"/>
        <w:ind w:left="120"/>
        <w:jc w:val="center"/>
      </w:pPr>
      <w:r>
        <w:rPr>
          <w:rFonts w:ascii="Times New Roman" w:hAnsi="Times New Roman"/>
          <w:b w:val="false"/>
          <w:i w:val="false"/>
          <w:color w:val="000000"/>
          <w:sz w:val="21"/>
        </w:rPr>
        <w:t>[Filed ARC 1583C</w:t>
      </w:r>
      <w:r>
        <w:rPr>
          <w:rFonts w:ascii="Times New Roman" w:hAnsi="Times New Roman"/>
          <w:b w:val="false"/>
          <w:i w:val="false"/>
          <w:color w:val="000000"/>
          <w:sz w:val="21"/>
        </w:rPr>
        <w:t xml:space="preserve"> (Notice ARC 1507C, IAB 6/25/14)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2916C</w:t>
      </w:r>
      <w:r>
        <w:rPr>
          <w:rFonts w:ascii="Times New Roman" w:hAnsi="Times New Roman"/>
          <w:b w:val="false"/>
          <w:i w:val="false"/>
          <w:color w:val="000000"/>
          <w:sz w:val="21"/>
        </w:rPr>
        <w:t xml:space="preserve"> (Notice ARC 2817C, IAB 11/23/16)</w:t>
      </w:r>
      <w:r>
        <w:rPr>
          <w:rFonts w:ascii="Times New Roman" w:hAnsi="Times New Roman"/>
          <w:b w:val="false"/>
          <w:i w:val="false"/>
          <w:color w:val="000000"/>
          <w:sz w:val="21"/>
        </w:rPr>
        <w:t>, IAB 1/18/17, effective 2/22/17]</w:t>
      </w:r>
    </w:p>
    <w:p>
      <w:pPr>
        <w:spacing w:before="0" w:after="0"/>
        <w:ind w:left="120"/>
        <w:jc w:val="center"/>
      </w:pPr>
      <w:r>
        <w:rPr>
          <w:rFonts w:ascii="Times New Roman" w:hAnsi="Times New Roman"/>
          <w:b w:val="false"/>
          <w:i w:val="false"/>
          <w:color w:val="000000"/>
          <w:sz w:val="21"/>
        </w:rPr>
        <w:t>[Filed Emergency ARC 3278C, IAB 8/30/17, effective 8/10/17]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415.pdf" Type="http://schemas.openxmlformats.org/officeDocument/2006/relationships/hyperlink" Id="rId5"/>
    <Relationship TargetMode="External" Target="https://www.legis.iowa.gov/docs/ico/chapter/8A.412.pdf" Type="http://schemas.openxmlformats.org/officeDocument/2006/relationships/hyperlink" Id="rId6"/>
    <Relationship TargetMode="External" Target="https://www.legis.iowa.gov/docs/iac/chapter/621.16.pdf" Type="http://schemas.openxmlformats.org/officeDocument/2006/relationships/hyperlink" Id="rId7"/>
    <Relationship TargetMode="External" Target="https://www.legis.iowa.gov/docs/iac/rule/621.2.15.pdf" Type="http://schemas.openxmlformats.org/officeDocument/2006/relationships/hyperlink" Id="rId8"/>
    <Relationship TargetMode="External" Target="https://www.legis.iowa.gov/docs/iac/rule/621.16.10.pdf" Type="http://schemas.openxmlformats.org/officeDocument/2006/relationships/hyperlink" Id="rId9"/>
    <Relationship TargetMode="External" Target="https://www.legis.iowa.gov/docs/ico/chapter/8A.415.pdf" Type="http://schemas.openxmlformats.org/officeDocument/2006/relationships/hyperlink" Id="rId10"/>
    <Relationship TargetMode="External" Target="https://www.legis.iowa.gov/docs/iac/chapter/621.16.pdf" Type="http://schemas.openxmlformats.org/officeDocument/2006/relationships/hyperlink" Id="rId11"/>
    <Relationship TargetMode="External" Target="https://www.legis.iowa.gov/docs/ico/chapter/8A.415.pdf" Type="http://schemas.openxmlformats.org/officeDocument/2006/relationships/hyperlink" Id="rId12"/>
    <Relationship TargetMode="External" Target="https://www.legis.iowa.gov/docs/ico/chapter/8A.415.pdf" Type="http://schemas.openxmlformats.org/officeDocument/2006/relationships/hyperlink" Id="rId13"/>
    <Relationship TargetMode="External" Target="https://www.legis.iowa.gov/docs/iac/chapter/621.6.pdf" Type="http://schemas.openxmlformats.org/officeDocument/2006/relationships/hyperlink" Id="rId14"/>
    <Relationship TargetMode="External" Target="https://www.legis.iowa.gov/docs/iac/chapter/621.9.pdf" Type="http://schemas.openxmlformats.org/officeDocument/2006/relationships/hyperlink" Id="rId15"/>
    <Relationship TargetMode="External" Target="https://www.legis.iowa.gov/docs/ico/chapter/8.2.pdf" Type="http://schemas.openxmlformats.org/officeDocument/2006/relationships/hyperlink" Id="rId16"/>
    <Relationship TargetMode="External" Target="https://www.legis.iowa.gov/docs/ico/chapter/8A.pdf" Type="http://schemas.openxmlformats.org/officeDocument/2006/relationships/hyperlink" Id="rId17"/>
    <Relationship TargetMode="External" Target="https://www.legis.iowa.gov/docs/ico/chapter/20.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