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GENERAL PROVISIONS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621—1.1</w:t>
      </w:r>
      <w:r>
        <w:rPr>
          <w:rFonts w:ascii="Times New Roman" w:hAnsi="Times New Roman"/>
          <w:b/>
          <w:i w:val="false"/>
          <w:color w:val="000000"/>
          <w:sz w:val="22"/>
        </w:rPr>
        <w:t xml:space="preserve">(20) </w:t>
      </w:r>
      <w:r>
        <w:rPr>
          <w:rFonts w:ascii="Times New Roman" w:hAnsi="Times New Roman"/>
          <w:b/>
          <w:i w:val="false"/>
          <w:color w:val="000000"/>
          <w:sz w:val="22"/>
        </w:rPr>
        <w:t xml:space="preserve">Construction and severability. </w:t>
      </w:r>
      <w:r>
        <w:rPr>
          <w:rFonts w:ascii="Times New Roman" w:hAnsi="Times New Roman"/>
          <w:b w:val="false"/>
          <w:i w:val="false"/>
          <w:color w:val="000000"/>
          <w:sz w:val="22"/>
        </w:rPr>
        <w:t>These rules shall be liberally construed to effectuate the purposes and provisions of the public employment relations Act. If any provisions of these rules are held to be invalid, it shall not be construed to invalidate any of the other provisions of these rules.</w:t>
      </w:r>
    </w:p>
    <w:p>
      <w:pPr>
        <w:spacing w:before="0" w:after="0"/>
        <w:ind w:left="120"/>
        <w:jc w:val="both"/>
      </w:pPr>
      <w:r>
        <w:rPr>
          <w:rFonts w:ascii="Times New Roman" w:hAnsi="Times New Roman"/>
          <w:b/>
          <w:i w:val="false"/>
          <w:color w:val="000000"/>
          <w:sz w:val="22"/>
        </w:rPr>
        <w:t>621—1.2</w:t>
      </w:r>
      <w:r>
        <w:rPr>
          <w:rFonts w:ascii="Times New Roman" w:hAnsi="Times New Roman"/>
          <w:b/>
          <w:i w:val="false"/>
          <w:color w:val="000000"/>
          <w:sz w:val="22"/>
        </w:rPr>
        <w:t xml:space="preserve">(20) </w:t>
      </w:r>
      <w:r>
        <w:rPr>
          <w:rFonts w:ascii="Times New Roman" w:hAnsi="Times New Roman"/>
          <w:b/>
          <w:i w:val="false"/>
          <w:color w:val="000000"/>
          <w:sz w:val="22"/>
        </w:rPr>
        <w:t xml:space="preserve">General agency description. </w:t>
      </w:r>
      <w:r>
        <w:rPr>
          <w:rFonts w:ascii="Times New Roman" w:hAnsi="Times New Roman"/>
          <w:b w:val="false"/>
          <w:i w:val="false"/>
          <w:color w:val="000000"/>
          <w:sz w:val="22"/>
        </w:rPr>
        <w:t>The purpose of the public employment relations board established by the Public Employment Relations Act is to implement the provisions of the Act and adjudicate and conciliate employment related cases involving the state of Iowa and other public employers and employee organizations. For these purposes the powers and duties of the board include, but are not limited to, the following:</w:t>
      </w:r>
    </w:p>
    <w:p>
      <w:pPr>
        <w:spacing w:before="0" w:after="0"/>
        <w:ind w:left="120"/>
        <w:jc w:val="both"/>
      </w:pPr>
      <w:r>
        <w:rPr>
          <w:rFonts w:ascii="Times New Roman" w:hAnsi="Times New Roman"/>
          <w:b w:val="false"/>
          <w:i w:val="false"/>
          <w:color w:val="000000"/>
          <w:sz w:val="22"/>
        </w:rPr>
        <w:t>Determining appropriate bargaining units and conducting representation elections.</w:t>
      </w:r>
    </w:p>
    <w:p>
      <w:pPr>
        <w:spacing w:before="0" w:after="0"/>
        <w:ind w:left="120"/>
        <w:jc w:val="both"/>
      </w:pPr>
      <w:r>
        <w:rPr>
          <w:rFonts w:ascii="Times New Roman" w:hAnsi="Times New Roman"/>
          <w:b w:val="false"/>
          <w:i w:val="false"/>
          <w:color w:val="000000"/>
          <w:sz w:val="22"/>
        </w:rPr>
        <w:t>Adjudicating prohibited practice complaints and fashioning appropriate remedial relief for violations of the Act.</w:t>
      </w:r>
    </w:p>
    <w:p>
      <w:pPr>
        <w:spacing w:before="0" w:after="0"/>
        <w:ind w:left="120"/>
        <w:jc w:val="both"/>
      </w:pPr>
      <w:r>
        <w:rPr>
          <w:rFonts w:ascii="Times New Roman" w:hAnsi="Times New Roman"/>
          <w:b w:val="false"/>
          <w:i w:val="false"/>
          <w:color w:val="000000"/>
          <w:sz w:val="22"/>
        </w:rPr>
        <w:t>Adjudicating and serving as arbitrators regarding state merit system grievances and grievances arising under collective bargaining agreements between public employers and certified employee organizations.</w:t>
      </w:r>
    </w:p>
    <w:p>
      <w:pPr>
        <w:spacing w:before="0" w:after="0"/>
        <w:ind w:left="120"/>
        <w:jc w:val="both"/>
      </w:pPr>
      <w:r>
        <w:rPr>
          <w:rFonts w:ascii="Times New Roman" w:hAnsi="Times New Roman"/>
          <w:b w:val="false"/>
          <w:i w:val="false"/>
          <w:color w:val="000000"/>
          <w:sz w:val="22"/>
        </w:rPr>
        <w:t>Providing mediators and arbitrators to resolve impasses in negotiations.</w:t>
      </w:r>
    </w:p>
    <w:p>
      <w:pPr>
        <w:spacing w:before="0" w:after="0"/>
        <w:ind w:left="120"/>
        <w:jc w:val="both"/>
      </w:pPr>
      <w:r>
        <w:rPr>
          <w:rFonts w:ascii="Times New Roman" w:hAnsi="Times New Roman"/>
          <w:b w:val="false"/>
          <w:i w:val="false"/>
          <w:color w:val="000000"/>
          <w:sz w:val="22"/>
        </w:rPr>
        <w:t>Collecting and disseminating information concerning the wages, hours, and other conditions of employment of public employees.</w:t>
      </w:r>
    </w:p>
    <w:p>
      <w:pPr>
        <w:spacing w:before="0" w:after="0"/>
        <w:ind w:left="120"/>
        <w:jc w:val="both"/>
      </w:pPr>
      <w:r>
        <w:rPr>
          <w:rFonts w:ascii="Times New Roman" w:hAnsi="Times New Roman"/>
          <w:b w:val="false"/>
          <w:i w:val="false"/>
          <w:color w:val="000000"/>
          <w:sz w:val="22"/>
        </w:rPr>
        <w:t>Preparing legal briefs and presenting oral arguments in the district courts, the court of appeals and the supreme court in cases affecting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8953B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621—1.3</w:t>
      </w:r>
      <w:r>
        <w:rPr>
          <w:rFonts w:ascii="Times New Roman" w:hAnsi="Times New Roman"/>
          <w:b/>
          <w:i w:val="false"/>
          <w:color w:val="000000"/>
          <w:sz w:val="22"/>
        </w:rPr>
        <w:t xml:space="preserve">(20) </w:t>
      </w:r>
      <w:r>
        <w:rPr>
          <w:rFonts w:ascii="Times New Roman" w:hAnsi="Times New Roman"/>
          <w:b/>
          <w:i w:val="false"/>
          <w:color w:val="000000"/>
          <w:sz w:val="22"/>
        </w:rPr>
        <w:t xml:space="preserve">General course and method of operation. </w:t>
      </w:r>
      <w:r>
        <w:rPr>
          <w:rFonts w:ascii="Times New Roman" w:hAnsi="Times New Roman"/>
          <w:b w:val="false"/>
          <w:i w:val="false"/>
          <w:color w:val="000000"/>
          <w:sz w:val="22"/>
        </w:rPr>
        <w:t>Upon receipt of a petition or complaint, the board may assign an administrative law judge to process the case. The board may determine that the petition or complaint is without basis and dismiss it without further proceedings. Petitions and complaints not dismissed are assigned for a hearing before either an administrative law judge or the board, unless the procedures for informal settlement described in these rules are followed. The administrative law judge or the board will conduct a hearing on the complaint or petition and issue a decision and order. The decisions of administrative law judges are appealable to the board, and final orders and decisions of the board are appealable to the district court under the Iowa administrative procedure Act.</w:t>
      </w:r>
    </w:p>
    <w:p>
      <w:pPr>
        <w:spacing w:before="210" w:after="0"/>
        <w:ind w:left="120"/>
        <w:jc w:val="both"/>
      </w:pPr>
      <w:r>
        <w:rPr>
          <w:rFonts w:ascii="Times New Roman" w:hAnsi="Times New Roman"/>
          <w:b/>
          <w:i w:val="false"/>
          <w:color w:val="000000"/>
          <w:sz w:val="22"/>
        </w:rPr>
        <w:t>621—1.4</w:t>
      </w:r>
      <w:r>
        <w:rPr>
          <w:rFonts w:ascii="Times New Roman" w:hAnsi="Times New Roman"/>
          <w:b/>
          <w:i w:val="false"/>
          <w:color w:val="000000"/>
          <w:sz w:val="22"/>
        </w:rPr>
        <w:t xml:space="preserve">(20) </w:t>
      </w:r>
      <w:r>
        <w:rPr>
          <w:rFonts w:ascii="Times New Roman" w:hAnsi="Times New Roman"/>
          <w:b/>
          <w:i w:val="false"/>
          <w:color w:val="000000"/>
          <w:sz w:val="22"/>
        </w:rPr>
        <w:t xml:space="preserve">Method of obtaining information and making submissions or requests. </w:t>
      </w:r>
      <w:r>
        <w:rPr>
          <w:rFonts w:ascii="Times New Roman" w:hAnsi="Times New Roman"/>
          <w:b w:val="false"/>
          <w:i w:val="false"/>
          <w:color w:val="000000"/>
          <w:sz w:val="22"/>
        </w:rPr>
        <w:t>Any person may obtain information from, make submission to, or make a request of the board by writing to Chairperson, Iowa Public Employment Relations Board, 510 East 12th Street, Suite 1B, Des Moines, Iowa 50319.</w:t>
      </w:r>
    </w:p>
    <w:p>
      <w:pPr>
        <w:spacing w:before="210" w:after="0"/>
        <w:ind w:left="120"/>
        <w:jc w:val="both"/>
      </w:pPr>
      <w:r>
        <w:rPr>
          <w:rFonts w:ascii="Times New Roman" w:hAnsi="Times New Roman"/>
          <w:b/>
          <w:i w:val="false"/>
          <w:color w:val="000000"/>
          <w:sz w:val="22"/>
        </w:rPr>
        <w:t>621—1.5</w:t>
      </w:r>
      <w:r>
        <w:rPr>
          <w:rFonts w:ascii="Times New Roman" w:hAnsi="Times New Roman"/>
          <w:b/>
          <w:i w:val="false"/>
          <w:color w:val="000000"/>
          <w:sz w:val="22"/>
        </w:rPr>
        <w:t xml:space="preserve">(20)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621—1.6</w:t>
      </w:r>
      <w:r>
        <w:rPr>
          <w:rFonts w:ascii="Times New Roman" w:hAnsi="Times New Roman"/>
          <w:b/>
          <w:i w:val="false"/>
          <w:color w:val="000000"/>
          <w:sz w:val="22"/>
        </w:rPr>
        <w:t xml:space="preserve">(20)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as used in these rules shall mean the public employment relations Act, Iowa Code chapter </w:t>
      </w:r>
      <w:hyperlink r:id="rId5">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as used in these rules shall mean the public employment relations board. No official board action may be taken without the concurrence of at least two members of the board; provided, however, that when for compelling reasons only two members hear an appeal of a proposed decision in a contested case and the two members do not concur, the result shall be affirmation of the proposed decision. The board, in its discretion, may delegate to board employees duties which the Act does not specifically require be performed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color w:val="000000"/>
          <w:sz w:val="22"/>
        </w:rPr>
        <w:t xml:space="preserve">Petitioner—complainant—respondent—intervenor.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“Petitioner” </w:t>
      </w:r>
      <w:r>
        <w:rPr>
          <w:rFonts w:ascii="Times New Roman" w:hAnsi="Times New Roman"/>
          <w:b w:val="false"/>
          <w:i w:val="false"/>
          <w:color w:val="000000"/>
          <w:sz w:val="22"/>
        </w:rPr>
        <w:t xml:space="preserve">means the party filing a petition under Iowa Code section </w:t>
      </w:r>
      <w:hyperlink r:id="rId6">
        <w:r>
          <w:rPr>
            <w:rStyle w:val="Hyperlink"/>
            <w:rFonts w:ascii="Times New Roman" w:hAnsi="Times New Roman"/>
            <w:b w:val="false"/>
            <w:i w:val="false"/>
            <w:color w:val="000000"/>
            <w:sz w:val="22"/>
          </w:rPr>
          <w:t>20.13</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20.14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“Complainant” </w:t>
      </w:r>
      <w:r>
        <w:rPr>
          <w:rFonts w:ascii="Times New Roman" w:hAnsi="Times New Roman"/>
          <w:b w:val="false"/>
          <w:i w:val="false"/>
          <w:color w:val="000000"/>
          <w:sz w:val="22"/>
        </w:rPr>
        <w:t xml:space="preserve">means the party filing a complaint under Iowa Code section </w:t>
      </w:r>
      <w:hyperlink r:id="rId8">
        <w:r>
          <w:rPr>
            <w:rStyle w:val="Hyperlink"/>
            <w:rFonts w:ascii="Times New Roman" w:hAnsi="Times New Roman"/>
            <w:b w:val="false"/>
            <w:i w:val="false"/>
            <w:color w:val="000000"/>
            <w:sz w:val="22"/>
          </w:rPr>
          <w:t>20.11</w:t>
        </w:r>
      </w:hyperlink>
      <w:r>
        <w:rPr>
          <w:rFonts w:ascii="Times New Roman" w:hAnsi="Times New Roman"/>
          <w:b w:val="false"/>
          <w:i w:val="false"/>
          <w:color w:val="000000"/>
          <w:sz w:val="22"/>
        </w:rPr>
        <w:t>, alleging the commission of a prohibited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“Respondent” </w:t>
      </w:r>
      <w:r>
        <w:rPr>
          <w:rFonts w:ascii="Times New Roman" w:hAnsi="Times New Roman"/>
          <w:b w:val="false"/>
          <w:i w:val="false"/>
          <w:color w:val="000000"/>
          <w:sz w:val="22"/>
        </w:rPr>
        <w:t>means the party accused of committing a prohibited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“Intervenor” </w:t>
      </w:r>
      <w:r>
        <w:rPr>
          <w:rFonts w:ascii="Times New Roman" w:hAnsi="Times New Roman"/>
          <w:b w:val="false"/>
          <w:i w:val="false"/>
          <w:color w:val="000000"/>
          <w:sz w:val="22"/>
        </w:rPr>
        <w:t>means a party who voluntarily interposes in a proceeding with the approval of the board or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as used in these rules shall mean any person, employee organization or public employer who has filed a petition or complaint under the Act or these rules; who has been named as a party in a complaint, petition or other matter under these rules; or whose motion to intervene has been granted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w:t>
      </w:r>
      <w:r>
        <w:rPr>
          <w:rFonts w:ascii="Times New Roman" w:hAnsi="Times New Roman"/>
          <w:b w:val="false"/>
          <w:i w:val="false"/>
          <w:color w:val="000000"/>
          <w:sz w:val="22"/>
        </w:rPr>
        <w:t> </w:t>
      </w:r>
      <w:r>
        <w:rPr>
          <w:rFonts w:ascii="Times New Roman" w:hAnsi="Times New Roman"/>
          <w:b w:val="false"/>
          <w:i/>
          <w:color w:val="000000"/>
          <w:sz w:val="22"/>
        </w:rPr>
        <w:t xml:space="preserve">“Impasse item” </w:t>
      </w:r>
      <w:r>
        <w:rPr>
          <w:rFonts w:ascii="Times New Roman" w:hAnsi="Times New Roman"/>
          <w:b w:val="false"/>
          <w:i w:val="false"/>
          <w:color w:val="000000"/>
          <w:sz w:val="22"/>
        </w:rPr>
        <w:t xml:space="preserve">means any term which was a subject of negotiations and proposed to be included in a collective bargaining agreement upon which the parties have failed to reach agreement in the course of negotiations, except as provided for in </w:t>
      </w:r>
      <w:hyperlink r:id="rId9">
        <w:r>
          <w:rPr>
            <w:rStyle w:val="Hyperlink"/>
            <w:rFonts w:ascii="Times New Roman" w:hAnsi="Times New Roman"/>
            <w:b w:val="false"/>
            <w:i w:val="false"/>
            <w:color w:val="000000"/>
            <w:sz w:val="22"/>
          </w:rPr>
          <w:t>621—6.1</w:t>
        </w:r>
      </w:hyperlink>
      <w:r>
        <w:rPr>
          <w:rFonts w:ascii="Times New Roman" w:hAnsi="Times New Roman"/>
          <w:b w:val="false"/>
          <w:i w:val="false"/>
          <w:color w:val="000000"/>
          <w:sz w:val="22"/>
        </w:rPr>
        <w:t>(20). Failure of the parties to agree upon impasse procedures shall not constitute an impasse item or compel implementation of impasse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w:t>
      </w:r>
      <w:r>
        <w:rPr>
          <w:rFonts w:ascii="Times New Roman" w:hAnsi="Times New Roman"/>
          <w:b w:val="false"/>
          <w:i w:val="false"/>
          <w:color w:val="000000"/>
          <w:sz w:val="22"/>
        </w:rPr>
        <w:t> </w:t>
      </w:r>
      <w:r>
        <w:rPr>
          <w:rFonts w:ascii="Times New Roman" w:hAnsi="Times New Roman"/>
          <w:b w:val="false"/>
          <w:i/>
          <w:color w:val="000000"/>
          <w:sz w:val="22"/>
        </w:rPr>
        <w:t xml:space="preserve">“Impasse procedures” </w:t>
      </w:r>
      <w:r>
        <w:rPr>
          <w:rFonts w:ascii="Times New Roman" w:hAnsi="Times New Roman"/>
          <w:b w:val="false"/>
          <w:i w:val="false"/>
          <w:color w:val="000000"/>
          <w:sz w:val="22"/>
        </w:rPr>
        <w:t xml:space="preserve">means either the procedures set forth in Iowa Code sections </w:t>
      </w:r>
      <w:hyperlink r:id="rId10">
        <w:r>
          <w:rPr>
            <w:rStyle w:val="Hyperlink"/>
            <w:rFonts w:ascii="Times New Roman" w:hAnsi="Times New Roman"/>
            <w:b w:val="false"/>
            <w:i w:val="false"/>
            <w:color w:val="000000"/>
            <w:sz w:val="22"/>
          </w:rPr>
          <w:t>20.20</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20.22</w:t>
        </w:r>
      </w:hyperlink>
      <w:r>
        <w:rPr>
          <w:rFonts w:ascii="Times New Roman" w:hAnsi="Times New Roman"/>
          <w:b w:val="false"/>
          <w:i w:val="false"/>
          <w:color w:val="000000"/>
          <w:sz w:val="22"/>
        </w:rPr>
        <w:t xml:space="preserve"> or any procedures agreed upon by the parties pursuant to Iowa Code section </w:t>
      </w:r>
      <w:hyperlink r:id="rId12">
        <w:r>
          <w:rPr>
            <w:rStyle w:val="Hyperlink"/>
            <w:rFonts w:ascii="Times New Roman" w:hAnsi="Times New Roman"/>
            <w:b w:val="false"/>
            <w:i w:val="false"/>
            <w:color w:val="000000"/>
            <w:sz w:val="22"/>
          </w:rPr>
          <w:t>20.19</w:t>
        </w:r>
      </w:hyperlink>
      <w:r>
        <w:rPr>
          <w:rFonts w:ascii="Times New Roman" w:hAnsi="Times New Roman"/>
          <w:b w:val="false"/>
          <w:i w:val="false"/>
          <w:color w:val="000000"/>
          <w:sz w:val="22"/>
        </w:rPr>
        <w:t xml:space="preserve"> which are designed to result in a binding collective bargaining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w:t>
      </w: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13">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w:t>
      </w:r>
      <w:r>
        <w:rPr>
          <w:rFonts w:ascii="Times New Roman" w:hAnsi="Times New Roman"/>
          <w:b w:val="false"/>
          <w:i w:val="false"/>
          <w:color w:val="000000"/>
          <w:sz w:val="22"/>
        </w:rPr>
        <w:t>1998 Iowa Acts, chapter 1202, section 14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w:t>
      </w:r>
      <w:r>
        <w:rPr>
          <w:rFonts w:ascii="Times New Roman" w:hAnsi="Times New Roman"/>
          <w:b w:val="false"/>
          <w:i w:val="false"/>
          <w:color w:val="000000"/>
          <w:sz w:val="22"/>
        </w:rPr>
        <w:t> </w:t>
      </w:r>
      <w:r>
        <w:rPr>
          <w:rFonts w:ascii="Times New Roman" w:hAnsi="Times New Roman"/>
          <w:b w:val="false"/>
          <w:i/>
          <w:color w:val="000000"/>
          <w:sz w:val="22"/>
        </w:rPr>
        <w:t xml:space="preserve">“Adjudicatory proceeding” </w:t>
      </w:r>
      <w:r>
        <w:rPr>
          <w:rFonts w:ascii="Times New Roman" w:hAnsi="Times New Roman"/>
          <w:b w:val="false"/>
          <w:i w:val="false"/>
          <w:color w:val="000000"/>
          <w:sz w:val="22"/>
        </w:rPr>
        <w:t>means a contested case, a proceeding that may culminate in a contested case, a petition for declaratory order, a petition for expedited resolution of a negotiability dispute, or any other proceeding which may require the board or its designee to issue a decision, order, or ruling.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w:t>
      </w: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as used in these rules means the public employment relations board and the board’s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means information excluded from public access by federal or state law or administrative rule, court rule, court or administrative order, or case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w:t>
      </w:r>
      <w:r>
        <w:rPr>
          <w:rFonts w:ascii="Times New Roman" w:hAnsi="Times New Roman"/>
          <w:b w:val="false"/>
          <w:i w:val="false"/>
          <w:color w:val="000000"/>
          <w:sz w:val="22"/>
        </w:rPr>
        <w:t> </w:t>
      </w:r>
      <w:r>
        <w:rPr>
          <w:rFonts w:ascii="Times New Roman" w:hAnsi="Times New Roman"/>
          <w:b w:val="false"/>
          <w:i/>
          <w:color w:val="000000"/>
          <w:sz w:val="22"/>
        </w:rPr>
        <w:t xml:space="preserve">“Protected information” </w:t>
      </w:r>
      <w:r>
        <w:rPr>
          <w:rFonts w:ascii="Times New Roman" w:hAnsi="Times New Roman"/>
          <w:b w:val="false"/>
          <w:i w:val="false"/>
          <w:color w:val="000000"/>
          <w:sz w:val="22"/>
        </w:rPr>
        <w:t>means personal information, the nature of which warrants protection from unlimited public access,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Social security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Financial account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Dates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Names of minor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Individual taxpayer identification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Personal identification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unique identifying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w:t>
      </w:r>
      <w:r>
        <w:rPr>
          <w:rFonts w:ascii="Times New Roman" w:hAnsi="Times New Roman"/>
          <w:b w:val="false"/>
          <w:i w:val="false"/>
          <w:color w:val="000000"/>
          <w:sz w:val="22"/>
        </w:rPr>
        <w:t> </w:t>
      </w:r>
      <w:r>
        <w:rPr>
          <w:rFonts w:ascii="Times New Roman" w:hAnsi="Times New Roman"/>
          <w:b w:val="false"/>
          <w:i/>
          <w:color w:val="000000"/>
          <w:sz w:val="22"/>
        </w:rPr>
        <w:t>“Public safety employee”</w:t>
      </w:r>
      <w:r>
        <w:rPr>
          <w:rFonts w:ascii="Times New Roman" w:hAnsi="Times New Roman"/>
          <w:b w:val="false"/>
          <w:i w:val="false"/>
          <w:color w:val="000000"/>
          <w:sz w:val="22"/>
        </w:rPr>
        <w:t xml:space="preserve"> means a public employee who is employed as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sheriff’s regular deputy.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marshal or police officer of a city, township, or special-purpose district or authority who is a member of a paid police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except a non-peace officer member, of the division of state patrol, narcotics enforcement, state fire marshal, or criminal investigation, including but not limited to a gaming enforcement officer, who has been duly appointed by the department of public safety in accordance with Iowa Code section </w:t>
      </w:r>
      <w:hyperlink r:id="rId14">
        <w:r>
          <w:rPr>
            <w:rStyle w:val="Hyperlink"/>
            <w:rFonts w:ascii="Times New Roman" w:hAnsi="Times New Roman"/>
            <w:b w:val="false"/>
            <w:i w:val="false"/>
            <w:color w:val="000000"/>
            <w:sz w:val="22"/>
          </w:rPr>
          <w:t>80.15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conservation officer or park ranger as authorized by Iowa Code section </w:t>
      </w:r>
      <w:hyperlink r:id="rId15">
        <w:r>
          <w:rPr>
            <w:rStyle w:val="Hyperlink"/>
            <w:rFonts w:ascii="Times New Roman" w:hAnsi="Times New Roman"/>
            <w:b w:val="false"/>
            <w:i w:val="false"/>
            <w:color w:val="000000"/>
            <w:sz w:val="22"/>
          </w:rPr>
          <w:t>456A.13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permanent or full-time fire fighter of a city, township, or special-purpose district or authority who is a member of a paid fire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peace officer designated by the department of transportation under Iowa Code section </w:t>
      </w:r>
      <w:hyperlink r:id="rId16">
        <w:r>
          <w:rPr>
            <w:rStyle w:val="Hyperlink"/>
            <w:rFonts w:ascii="Times New Roman" w:hAnsi="Times New Roman"/>
            <w:b w:val="false"/>
            <w:i w:val="false"/>
            <w:color w:val="000000"/>
            <w:sz w:val="22"/>
          </w:rPr>
          <w:t>321.477</w:t>
        </w:r>
      </w:hyperlink>
      <w:r>
        <w:rPr>
          <w:rFonts w:ascii="Times New Roman" w:hAnsi="Times New Roman"/>
          <w:b w:val="false"/>
          <w:i w:val="false"/>
          <w:color w:val="000000"/>
          <w:sz w:val="22"/>
        </w:rPr>
        <w:t xml:space="preserve"> who is subject to mandated law enforcement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w:t>
      </w:r>
      <w:r>
        <w:rPr>
          <w:rFonts w:ascii="Times New Roman" w:hAnsi="Times New Roman"/>
          <w:b w:val="false"/>
          <w:i w:val="false"/>
          <w:color w:val="000000"/>
          <w:sz w:val="22"/>
        </w:rPr>
        <w:t> </w:t>
      </w:r>
      <w:r>
        <w:rPr>
          <w:rFonts w:ascii="Times New Roman" w:hAnsi="Times New Roman"/>
          <w:b w:val="false"/>
          <w:i/>
          <w:color w:val="000000"/>
          <w:sz w:val="22"/>
        </w:rPr>
        <w:t>“Public safety unit”</w:t>
      </w:r>
      <w:r>
        <w:rPr>
          <w:rFonts w:ascii="Times New Roman" w:hAnsi="Times New Roman"/>
          <w:b w:val="false"/>
          <w:i w:val="false"/>
          <w:color w:val="000000"/>
          <w:sz w:val="22"/>
        </w:rPr>
        <w:t xml:space="preserve"> means a bargaining unit with at least 30 percent of employees in the unit who are public safety employees or as required by Iowa Code section </w:t>
      </w:r>
      <w:hyperlink r:id="rId17">
        <w:r>
          <w:rPr>
            <w:rStyle w:val="Hyperlink"/>
            <w:rFonts w:ascii="Times New Roman" w:hAnsi="Times New Roman"/>
            <w:b w:val="false"/>
            <w:i w:val="false"/>
            <w:color w:val="000000"/>
            <w:sz w:val="22"/>
          </w:rPr>
          <w:t>20.32</w:t>
        </w:r>
      </w:hyperlink>
      <w:r>
        <w:rPr>
          <w:rFonts w:ascii="Times New Roman" w:hAnsi="Times New Roman"/>
          <w:b w:val="false"/>
          <w:i w:val="false"/>
          <w:color w:val="000000"/>
          <w:sz w:val="22"/>
        </w:rPr>
        <w:t xml:space="preserve"> for certain transit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1.6(14)</w:t>
      </w:r>
      <w:r>
        <w:rPr>
          <w:rFonts w:ascii="Times New Roman" w:hAnsi="Times New Roman"/>
          <w:b w:val="false"/>
          <w:i w:val="false"/>
          <w:color w:val="000000"/>
          <w:sz w:val="22"/>
        </w:rPr>
        <w:t> </w:t>
      </w:r>
      <w:r>
        <w:rPr>
          <w:rFonts w:ascii="Times New Roman" w:hAnsi="Times New Roman"/>
          <w:b w:val="false"/>
          <w:i/>
          <w:color w:val="000000"/>
          <w:sz w:val="22"/>
        </w:rPr>
        <w:t>“Supplemental pay”</w:t>
      </w:r>
      <w:r>
        <w:rPr>
          <w:rFonts w:ascii="Times New Roman" w:hAnsi="Times New Roman"/>
          <w:b w:val="false"/>
          <w:i w:val="false"/>
          <w:color w:val="000000"/>
          <w:sz w:val="22"/>
        </w:rPr>
        <w:t xml:space="preserve"> means a payment of moneys or other thing of value that is in addition to compensation received pursuant to any other permitted subject of negotiation specified in Iowa Code section </w:t>
      </w:r>
      <w:hyperlink r:id="rId18">
        <w:r>
          <w:rPr>
            <w:rStyle w:val="Hyperlink"/>
            <w:rFonts w:ascii="Times New Roman" w:hAnsi="Times New Roman"/>
            <w:b w:val="false"/>
            <w:i w:val="false"/>
            <w:color w:val="000000"/>
            <w:sz w:val="22"/>
          </w:rPr>
          <w:t>20.9</w:t>
        </w:r>
      </w:hyperlink>
      <w:r>
        <w:rPr>
          <w:rFonts w:ascii="Times New Roman" w:hAnsi="Times New Roman"/>
          <w:b w:val="false"/>
          <w:i w:val="false"/>
          <w:color w:val="000000"/>
          <w:sz w:val="22"/>
        </w:rPr>
        <w:t xml:space="preserve"> and is related to the employment relationship.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8953B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 xml:space="preserve">; </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621—1.7</w:t>
      </w:r>
      <w:r>
        <w:rPr>
          <w:rFonts w:ascii="Times New Roman" w:hAnsi="Times New Roman"/>
          <w:b/>
          <w:i w:val="false"/>
          <w:color w:val="000000"/>
          <w:sz w:val="22"/>
        </w:rPr>
        <w:t xml:space="preserve">(20) </w:t>
      </w:r>
      <w:r>
        <w:rPr>
          <w:rFonts w:ascii="Times New Roman" w:hAnsi="Times New Roman"/>
          <w:b/>
          <w:i w:val="false"/>
          <w:color w:val="000000"/>
          <w:sz w:val="22"/>
        </w:rPr>
        <w:t xml:space="preserve">Computation of time. </w:t>
      </w:r>
      <w:r>
        <w:rPr>
          <w:rFonts w:ascii="Times New Roman" w:hAnsi="Times New Roman"/>
          <w:b w:val="false"/>
          <w:i w:val="false"/>
          <w:color w:val="000000"/>
          <w:sz w:val="22"/>
        </w:rPr>
        <w:t xml:space="preserve">Time periods established by these rules shall be computed pursuant to Iowa Code section </w:t>
      </w:r>
      <w:hyperlink r:id="rId19">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621—1.8</w:t>
      </w:r>
      <w:r>
        <w:rPr>
          <w:rFonts w:ascii="Times New Roman" w:hAnsi="Times New Roman"/>
          <w:b/>
          <w:i w:val="false"/>
          <w:color w:val="000000"/>
          <w:sz w:val="22"/>
        </w:rPr>
        <w:t xml:space="preserve">(20,279) </w:t>
      </w:r>
      <w:r>
        <w:rPr>
          <w:rFonts w:ascii="Times New Roman" w:hAnsi="Times New Roman"/>
          <w:b/>
          <w:i w:val="false"/>
          <w:color w:val="000000"/>
          <w:sz w:val="22"/>
        </w:rPr>
        <w:t xml:space="preserve">Fees of neutrals. </w:t>
      </w:r>
      <w:r>
        <w:rPr>
          <w:rFonts w:ascii="Times New Roman" w:hAnsi="Times New Roman"/>
          <w:b w:val="false"/>
          <w:i w:val="false"/>
          <w:color w:val="000000"/>
          <w:sz w:val="22"/>
        </w:rPr>
        <w:t>See rule 621—14.4(2).</w:t>
      </w:r>
    </w:p>
    <w:p>
      <w:pPr>
        <w:spacing w:before="210" w:after="0"/>
        <w:ind w:left="120"/>
        <w:jc w:val="both"/>
      </w:pPr>
      <w:r>
        <w:rPr>
          <w:rFonts w:ascii="Times New Roman" w:hAnsi="Times New Roman"/>
          <w:b/>
          <w:i w:val="false"/>
          <w:color w:val="000000"/>
          <w:sz w:val="22"/>
        </w:rPr>
        <w:t>621—1.9</w:t>
      </w:r>
      <w:r>
        <w:rPr>
          <w:rFonts w:ascii="Times New Roman" w:hAnsi="Times New Roman"/>
          <w:b/>
          <w:i w:val="false"/>
          <w:color w:val="000000"/>
          <w:sz w:val="22"/>
        </w:rPr>
        <w:t xml:space="preserve">(17A,20) </w:t>
      </w:r>
      <w:r>
        <w:rPr>
          <w:rFonts w:ascii="Times New Roman" w:hAnsi="Times New Roman"/>
          <w:b/>
          <w:i w:val="false"/>
          <w:color w:val="000000"/>
          <w:sz w:val="22"/>
        </w:rPr>
        <w:t xml:space="preserve">Waiver of rules.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621—1.10</w:t>
      </w:r>
      <w:r>
        <w:rPr>
          <w:rFonts w:ascii="Times New Roman" w:hAnsi="Times New Roman"/>
          <w:b/>
          <w:i w:val="false"/>
          <w:color w:val="000000"/>
          <w:sz w:val="22"/>
        </w:rPr>
        <w:t xml:space="preserve">(20) </w:t>
      </w:r>
      <w:r>
        <w:rPr>
          <w:rFonts w:ascii="Times New Roman" w:hAnsi="Times New Roman"/>
          <w:b/>
          <w:i w:val="false"/>
          <w:color w:val="000000"/>
          <w:sz w:val="22"/>
        </w:rPr>
        <w:t xml:space="preserve">Agency record and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w:t>
      </w:r>
      <w:r>
        <w:rPr>
          <w:rFonts w:ascii="Times New Roman" w:hAnsi="Times New Roman"/>
          <w:b w:val="false"/>
          <w:i w:val="false"/>
          <w:color w:val="000000"/>
          <w:sz w:val="22"/>
        </w:rPr>
        <w:t> </w:t>
      </w:r>
      <w:r>
        <w:rPr>
          <w:rFonts w:ascii="Times New Roman" w:hAnsi="Times New Roman"/>
          <w:b w:val="false"/>
          <w:i/>
          <w:color w:val="000000"/>
          <w:sz w:val="22"/>
        </w:rPr>
        <w:t xml:space="preserve">Agency record. </w:t>
      </w:r>
      <w:r>
        <w:rPr>
          <w:rFonts w:ascii="Times New Roman" w:hAnsi="Times New Roman"/>
          <w:b w:val="false"/>
          <w:i w:val="false"/>
          <w:color w:val="000000"/>
          <w:sz w:val="22"/>
        </w:rPr>
        <w:t>The official agency record for all adjudicatory proceedings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Electronic files maintained in the agency’s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Paper documents maintained by the agency in paper form when permitted by the board’s order;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Exhibits and other materials filed with or delivered to and maintained by the agency as part of the case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w:t>
      </w:r>
      <w:r>
        <w:rPr>
          <w:rFonts w:ascii="Times New Roman" w:hAnsi="Times New Roman"/>
          <w:b w:val="false"/>
          <w:i w:val="false"/>
          <w:color w:val="000000"/>
          <w:sz w:val="22"/>
        </w:rPr>
        <w:t> </w:t>
      </w:r>
      <w:r>
        <w:rPr>
          <w:rFonts w:ascii="Times New Roman" w:hAnsi="Times New Roman"/>
          <w:b w:val="false"/>
          <w:i/>
          <w:color w:val="000000"/>
          <w:sz w:val="22"/>
        </w:rPr>
        <w:t xml:space="preserve">Paper case files. </w:t>
      </w:r>
      <w:r>
        <w:rPr>
          <w:rFonts w:ascii="Times New Roman" w:hAnsi="Times New Roman"/>
          <w:b w:val="false"/>
          <w:i w:val="false"/>
          <w:color w:val="000000"/>
          <w:sz w:val="22"/>
        </w:rPr>
        <w:t>Except as otherwise provided in the agency’s rules or directed by the board, the agency will not maintain paper case files in adjudicatory proceedings filed on or after January 1, 2015.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0">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chapter </w:t>
      </w:r>
      <w:hyperlink r:id="rId21">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March 4, 1975]</w:t>
      </w:r>
    </w:p>
    <w:p>
      <w:pPr>
        <w:spacing w:before="0" w:after="0"/>
        <w:ind w:left="120"/>
        <w:jc w:val="center"/>
      </w:pPr>
      <w:r>
        <w:rPr>
          <w:rFonts w:ascii="Times New Roman" w:hAnsi="Times New Roman"/>
          <w:b w:val="false"/>
          <w:i w:val="false"/>
          <w:color w:val="000000"/>
          <w:sz w:val="21"/>
        </w:rPr>
        <w:t>[Filed 2/3/78, Notice 12/28/77—published 2/22/78, effective 3/29/78]</w:t>
      </w:r>
    </w:p>
    <w:p>
      <w:pPr>
        <w:spacing w:before="0" w:after="0"/>
        <w:ind w:left="120"/>
        <w:jc w:val="center"/>
      </w:pPr>
      <w:r>
        <w:rPr>
          <w:rFonts w:ascii="Times New Roman" w:hAnsi="Times New Roman"/>
          <w:b w:val="false"/>
          <w:i w:val="false"/>
          <w:color w:val="000000"/>
          <w:sz w:val="21"/>
        </w:rPr>
        <w:t>[Filed 11/7/80, Notice 9/17/80—published 11/26/80, effective 12/31/80]</w:t>
      </w:r>
    </w:p>
    <w:p>
      <w:pPr>
        <w:spacing w:before="0" w:after="0"/>
        <w:ind w:left="120"/>
        <w:jc w:val="center"/>
      </w:pPr>
      <w:r>
        <w:rPr>
          <w:rFonts w:ascii="Times New Roman" w:hAnsi="Times New Roman"/>
          <w:b w:val="false"/>
          <w:i w:val="false"/>
          <w:color w:val="000000"/>
          <w:sz w:val="21"/>
        </w:rPr>
        <w:t>[Filed 10/9/86, Notice 8/27/86—published 11/5/86, effective 12/10/86]</w:t>
      </w:r>
    </w:p>
    <w:p>
      <w:pPr>
        <w:spacing w:before="0" w:after="0"/>
        <w:ind w:left="120"/>
        <w:jc w:val="center"/>
      </w:pPr>
      <w:r>
        <w:rPr>
          <w:rFonts w:ascii="Times New Roman" w:hAnsi="Times New Roman"/>
          <w:b w:val="false"/>
          <w:i w:val="false"/>
          <w:color w:val="000000"/>
          <w:sz w:val="21"/>
        </w:rPr>
        <w:t>[Filed 2/1/89, Notice 12/28/88—published 2/22/89, effective 3/30/89]</w:t>
      </w:r>
    </w:p>
    <w:p>
      <w:pPr>
        <w:spacing w:before="0" w:after="0"/>
        <w:ind w:left="120"/>
        <w:jc w:val="center"/>
      </w:pPr>
      <w:r>
        <w:rPr>
          <w:rFonts w:ascii="Times New Roman" w:hAnsi="Times New Roman"/>
          <w:b w:val="false"/>
          <w:i w:val="false"/>
          <w:color w:val="000000"/>
          <w:sz w:val="21"/>
        </w:rPr>
        <w:t>[Filed 10/24/90, Notice 9/19/90—published 11/14/90, effective 12/19/90]</w:t>
      </w:r>
    </w:p>
    <w:p>
      <w:pPr>
        <w:spacing w:before="0" w:after="0"/>
        <w:ind w:left="120"/>
        <w:jc w:val="center"/>
      </w:pPr>
      <w:r>
        <w:rPr>
          <w:rFonts w:ascii="Times New Roman" w:hAnsi="Times New Roman"/>
          <w:b w:val="false"/>
          <w:i w:val="false"/>
          <w:color w:val="000000"/>
          <w:sz w:val="21"/>
        </w:rPr>
        <w:t>[Filed 12/16/93, Notice 11/10/93—published 1/5/94, effective 2/9/94]</w:t>
      </w:r>
    </w:p>
    <w:p>
      <w:pPr>
        <w:spacing w:before="0" w:after="0"/>
        <w:ind w:left="120"/>
        <w:jc w:val="center"/>
      </w:pPr>
      <w:r>
        <w:rPr>
          <w:rFonts w:ascii="Times New Roman" w:hAnsi="Times New Roman"/>
          <w:b w:val="false"/>
          <w:i w:val="false"/>
          <w:color w:val="000000"/>
          <w:sz w:val="21"/>
        </w:rPr>
        <w:t>[Filed 1/22/97, Notice 12/18/96—published 2/12/97, effective 3/19/97]</w:t>
      </w:r>
    </w:p>
    <w:p>
      <w:pPr>
        <w:spacing w:before="0" w:after="0"/>
        <w:ind w:left="120"/>
        <w:jc w:val="center"/>
      </w:pPr>
      <w:r>
        <w:rPr>
          <w:rFonts w:ascii="Times New Roman" w:hAnsi="Times New Roman"/>
          <w:b w:val="false"/>
          <w:i w:val="false"/>
          <w:color w:val="000000"/>
          <w:sz w:val="21"/>
        </w:rPr>
        <w:t>[Filed 4/15/99, Notice 3/10/99—published 5/5/99, effective 7/1/99]</w:t>
      </w:r>
    </w:p>
    <w:p>
      <w:pPr>
        <w:spacing w:before="0" w:after="0"/>
        <w:ind w:left="120"/>
        <w:jc w:val="center"/>
      </w:pPr>
      <w:r>
        <w:rPr>
          <w:rFonts w:ascii="Times New Roman" w:hAnsi="Times New Roman"/>
          <w:b w:val="false"/>
          <w:i w:val="false"/>
          <w:color w:val="000000"/>
          <w:sz w:val="21"/>
        </w:rPr>
        <w:t>[Filed 4/11/01, Notice 2/21/01—published 5/2/01, effective 6/6/01]</w:t>
      </w:r>
    </w:p>
    <w:p>
      <w:pPr>
        <w:spacing w:before="0" w:after="0"/>
        <w:ind w:left="120"/>
        <w:jc w:val="center"/>
      </w:pPr>
      <w:r>
        <w:rPr>
          <w:rFonts w:ascii="Times New Roman" w:hAnsi="Times New Roman"/>
          <w:b w:val="false"/>
          <w:i w:val="false"/>
          <w:color w:val="000000"/>
          <w:sz w:val="21"/>
        </w:rPr>
        <w:t>[Filed 8/16/01, Notice 6/13/01—published 9/5/01, effective 10/10/01]</w:t>
      </w:r>
    </w:p>
    <w:p>
      <w:pPr>
        <w:spacing w:before="0" w:after="0"/>
        <w:ind w:left="120"/>
        <w:jc w:val="center"/>
      </w:pPr>
      <w:r>
        <w:rPr>
          <w:rFonts w:ascii="Times New Roman" w:hAnsi="Times New Roman"/>
          <w:b w:val="false"/>
          <w:i w:val="false"/>
          <w:color w:val="000000"/>
          <w:sz w:val="21"/>
        </w:rPr>
        <w:t>[Filed emergency 7/1/04—published 7/21/04, effective 7/30/04]</w:t>
      </w:r>
    </w:p>
    <w:p>
      <w:pPr>
        <w:spacing w:before="0" w:after="0"/>
        <w:ind w:left="120"/>
        <w:jc w:val="center"/>
      </w:pPr>
      <w:r>
        <w:rPr>
          <w:rFonts w:ascii="Times New Roman" w:hAnsi="Times New Roman"/>
          <w:b w:val="false"/>
          <w:i w:val="false"/>
          <w:color w:val="000000"/>
          <w:sz w:val="21"/>
        </w:rPr>
        <w:t>[Filed 9/19/07, Notice 8/15/07—published 10/10/07, effective 11/14/07]</w:t>
      </w:r>
    </w:p>
    <w:p>
      <w:pPr>
        <w:spacing w:before="0" w:after="0"/>
        <w:ind w:left="120"/>
        <w:jc w:val="center"/>
      </w:pPr>
      <w:r>
        <w:rPr>
          <w:rFonts w:ascii="Times New Roman" w:hAnsi="Times New Roman"/>
          <w:b w:val="false"/>
          <w:i w:val="false"/>
          <w:color w:val="000000"/>
          <w:sz w:val="21"/>
        </w:rPr>
        <w:t>[Filed Without Notice ARC 8953B, IAB 7/28/10, effective 9/1/10]</w:t>
      </w:r>
    </w:p>
    <w:p>
      <w:pPr>
        <w:spacing w:before="0" w:after="0"/>
        <w:ind w:left="120"/>
        <w:jc w:val="center"/>
      </w:pPr>
      <w:r>
        <w:rPr>
          <w:rFonts w:ascii="Times New Roman" w:hAnsi="Times New Roman"/>
          <w:b w:val="false"/>
          <w:i w:val="false"/>
          <w:color w:val="000000"/>
          <w:sz w:val="21"/>
        </w:rPr>
        <w:t>[Filed ARC 0395C</w:t>
      </w:r>
      <w:r>
        <w:rPr>
          <w:rFonts w:ascii="Times New Roman" w:hAnsi="Times New Roman"/>
          <w:b w:val="false"/>
          <w:i w:val="false"/>
          <w:color w:val="000000"/>
          <w:sz w:val="21"/>
        </w:rPr>
        <w:t xml:space="preserve"> (Notice ARC 0262C, IAB 8/8/12)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1583C</w:t>
      </w:r>
      <w:r>
        <w:rPr>
          <w:rFonts w:ascii="Times New Roman" w:hAnsi="Times New Roman"/>
          <w:b w:val="false"/>
          <w:i w:val="false"/>
          <w:color w:val="000000"/>
          <w:sz w:val="21"/>
        </w:rPr>
        <w:t xml:space="preserve"> (Notice ARC 1507C, IAB 6/25/14)</w:t>
      </w:r>
      <w:r>
        <w:rPr>
          <w:rFonts w:ascii="Times New Roman" w:hAnsi="Times New Roman"/>
          <w:b w:val="false"/>
          <w:i w:val="false"/>
          <w:color w:val="000000"/>
          <w:sz w:val="21"/>
        </w:rPr>
        <w:t>, IAB 8/20/14, effective 9/24/14]</w:t>
      </w:r>
    </w:p>
    <w:p>
      <w:pPr>
        <w:spacing w:before="0" w:after="0"/>
        <w:ind w:left="120"/>
        <w:jc w:val="center"/>
      </w:pPr>
      <w:r>
        <w:rPr>
          <w:rFonts w:ascii="Times New Roman" w:hAnsi="Times New Roman"/>
          <w:b w:val="false"/>
          <w:i w:val="false"/>
          <w:color w:val="000000"/>
          <w:sz w:val="21"/>
        </w:rPr>
        <w:t>[Filed ARC 1642C</w:t>
      </w:r>
      <w:r>
        <w:rPr>
          <w:rFonts w:ascii="Times New Roman" w:hAnsi="Times New Roman"/>
          <w:b w:val="false"/>
          <w:i w:val="false"/>
          <w:color w:val="000000"/>
          <w:sz w:val="21"/>
        </w:rPr>
        <w:t xml:space="preserve"> (Notice ARC 1570C, IAB 8/6/14)</w:t>
      </w:r>
      <w:r>
        <w:rPr>
          <w:rFonts w:ascii="Times New Roman" w:hAnsi="Times New Roman"/>
          <w:b w:val="false"/>
          <w:i w:val="false"/>
          <w:color w:val="000000"/>
          <w:sz w:val="21"/>
        </w:rPr>
        <w:t>, IAB 10/1/14, effective 11/5/14]</w:t>
      </w:r>
    </w:p>
    <w:p>
      <w:pPr>
        <w:spacing w:before="0" w:after="0"/>
        <w:ind w:left="120"/>
        <w:jc w:val="center"/>
      </w:pPr>
      <w:r>
        <w:rPr>
          <w:rFonts w:ascii="Times New Roman" w:hAnsi="Times New Roman"/>
          <w:b w:val="false"/>
          <w:i w:val="false"/>
          <w:color w:val="000000"/>
          <w:sz w:val="21"/>
        </w:rPr>
        <w:t>[Filed Emergency ARC 3278C, IAB 8/30/17, effective 8/10/17]</w:t>
      </w:r>
    </w:p>
    <w:p>
      <w:pPr>
        <w:spacing w:before="0" w:after="0"/>
        <w:ind w:left="120"/>
        <w:jc w:val="center"/>
      </w:pPr>
      <w:r>
        <w:rPr>
          <w:rFonts w:ascii="Times New Roman" w:hAnsi="Times New Roman"/>
          <w:b w:val="false"/>
          <w:i w:val="false"/>
          <w:color w:val="000000"/>
          <w:sz w:val="21"/>
        </w:rPr>
        <w:t>[Filed ARC 4457C</w:t>
      </w:r>
      <w:r>
        <w:rPr>
          <w:rFonts w:ascii="Times New Roman" w:hAnsi="Times New Roman"/>
          <w:b w:val="false"/>
          <w:i w:val="false"/>
          <w:color w:val="000000"/>
          <w:sz w:val="21"/>
        </w:rPr>
        <w:t xml:space="preserve"> (Notice ARC 4365C, IAB 3/27/19)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5631C</w:t>
      </w:r>
      <w:r>
        <w:rPr>
          <w:rFonts w:ascii="Times New Roman" w:hAnsi="Times New Roman"/>
          <w:b w:val="false"/>
          <w:i w:val="false"/>
          <w:color w:val="000000"/>
          <w:sz w:val="21"/>
        </w:rPr>
        <w:t xml:space="preserve"> (Notice ARC 5534C, IAB 3/24/21)</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pdf" Type="http://schemas.openxmlformats.org/officeDocument/2006/relationships/hyperlink" Id="rId5"/>
    <Relationship TargetMode="External" Target="https://www.legis.iowa.gov/docs/ico/chapter/20.13.pdf" Type="http://schemas.openxmlformats.org/officeDocument/2006/relationships/hyperlink" Id="rId6"/>
    <Relationship TargetMode="External" Target="https://www.legis.iowa.gov/docs/ico/chapter/20.14.pdf" Type="http://schemas.openxmlformats.org/officeDocument/2006/relationships/hyperlink" Id="rId7"/>
    <Relationship TargetMode="External" Target="https://www.legis.iowa.gov/docs/ico/chapter/20.11.pdf" Type="http://schemas.openxmlformats.org/officeDocument/2006/relationships/hyperlink" Id="rId8"/>
    <Relationship TargetMode="External" Target="https://www.legis.iowa.gov/docs/iac/rule/621.6.1.pdf" Type="http://schemas.openxmlformats.org/officeDocument/2006/relationships/hyperlink" Id="rId9"/>
    <Relationship TargetMode="External" Target="https://www.legis.iowa.gov/docs/ico/chapter/20.20.pdf" Type="http://schemas.openxmlformats.org/officeDocument/2006/relationships/hyperlink" Id="rId10"/>
    <Relationship TargetMode="External" Target="https://www.legis.iowa.gov/docs/ico/chapter/20.22.pdf" Type="http://schemas.openxmlformats.org/officeDocument/2006/relationships/hyperlink" Id="rId11"/>
    <Relationship TargetMode="External" Target="https://www.legis.iowa.gov/docs/ico/chapter/20.19.pdf" Type="http://schemas.openxmlformats.org/officeDocument/2006/relationships/hyperlink" Id="rId12"/>
    <Relationship TargetMode="External" Target="https://www.legis.iowa.gov/docs/ico/chapter/17A.2.pdf" Type="http://schemas.openxmlformats.org/officeDocument/2006/relationships/hyperlink" Id="rId13"/>
    <Relationship TargetMode="External" Target="https://www.legis.iowa.gov/docs/ico/chapter/80.15.pdf" Type="http://schemas.openxmlformats.org/officeDocument/2006/relationships/hyperlink" Id="rId14"/>
    <Relationship TargetMode="External" Target="https://www.legis.iowa.gov/docs/ico/chapter/456A.13.pdf" Type="http://schemas.openxmlformats.org/officeDocument/2006/relationships/hyperlink" Id="rId15"/>
    <Relationship TargetMode="External" Target="https://www.legis.iowa.gov/docs/ico/chapter/321.477.pdf" Type="http://schemas.openxmlformats.org/officeDocument/2006/relationships/hyperlink" Id="rId16"/>
    <Relationship TargetMode="External" Target="https://www.legis.iowa.gov/docs/ico/chapter/20.32.pdf" Type="http://schemas.openxmlformats.org/officeDocument/2006/relationships/hyperlink" Id="rId17"/>
    <Relationship TargetMode="External" Target="https://www.legis.iowa.gov/docs/ico/chapter/20.pdf" Type="http://schemas.openxmlformats.org/officeDocument/2006/relationships/hyperlink" Id="rId18"/>
    <Relationship TargetMode="External" Target="https://www.legis.iowa.gov/docs/ico/chapter/4.1.pdf" Type="http://schemas.openxmlformats.org/officeDocument/2006/relationships/hyperlink" Id="rId19"/>
    <Relationship TargetMode="External" Target="https://www.legis.iowa.gov/docs/ico/chapter/17A.9A.pdf" Type="http://schemas.openxmlformats.org/officeDocument/2006/relationships/hyperlink" Id="rId20"/>
    <Relationship TargetMode="External" Target="https://www.legis.iowa.gov/docs/ico/chapter/20.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