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w:t>
      </w:r>
    </w:p>
    <w:p>
      <w:pPr>
        <w:spacing w:before="0" w:after="0"/>
        <w:ind w:left="120"/>
        <w:jc w:val="center"/>
      </w:pPr>
      <w:r>
        <w:rPr>
          <w:rFonts w:ascii="Times New Roman" w:hAnsi="Times New Roman"/>
          <w:b w:val="false"/>
          <w:i w:val="false"/>
          <w:color w:val="000000"/>
          <w:sz w:val="21"/>
        </w:rPr>
        <w:t>DNA PROFILING</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61—8.1</w:t>
      </w:r>
      <w:r>
        <w:rPr>
          <w:rFonts w:ascii="Times New Roman" w:hAnsi="Times New Roman"/>
          <w:b/>
          <w:i w:val="false"/>
          <w:color w:val="000000"/>
          <w:sz w:val="22"/>
        </w:rPr>
        <w:t xml:space="preserve">(13)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“Convicted.” </w:t>
      </w:r>
      <w:r>
        <w:rPr>
          <w:rFonts w:ascii="Times New Roman" w:hAnsi="Times New Roman"/>
          <w:b w:val="false"/>
          <w:i w:val="false"/>
          <w:color w:val="000000"/>
          <w:sz w:val="22"/>
        </w:rPr>
        <w:t>The term includes both a person’s present conviction and any prior conviction, whether occurring in Iowa or another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“Listed offense.” </w:t>
      </w:r>
      <w:r>
        <w:rPr>
          <w:rFonts w:ascii="Times New Roman" w:hAnsi="Times New Roman"/>
          <w:b w:val="false"/>
          <w:i w:val="false"/>
          <w:color w:val="000000"/>
          <w:sz w:val="22"/>
        </w:rPr>
        <w:t>A listed offense is any offense set out in these rules. It also includes similar offenses under prior laws of the state of Iowa or the laws of another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“Responsible agency.” </w:t>
      </w:r>
      <w:r>
        <w:rPr>
          <w:rFonts w:ascii="Times New Roman" w:hAnsi="Times New Roman"/>
          <w:b w:val="false"/>
          <w:i w:val="false"/>
          <w:color w:val="000000"/>
          <w:sz w:val="22"/>
        </w:rPr>
        <w:t>The district court is the responsible agency under these rules in those cases in which a person is being considered for probation. The Iowa board of parole is the responsible agency under these rules in those cases in which a person is being considered for work release or parole. The department of corrections or the judicial district department of correctional services is the responsible agency under these rules in those cases in which a person is being committed to or discharges from the custody of the director of the department of corrections or the judicial district department of correctional services. The county sheriff is the responsible agency under these rules in those cases in which a person is being confined to the county jail. The responsible agency shall require the taking of a DNA sample.</w:t>
      </w:r>
    </w:p>
    <w:p>
      <w:pPr>
        <w:spacing w:before="0" w:after="0"/>
        <w:ind w:left="120"/>
        <w:jc w:val="both"/>
      </w:pPr>
      <w:r>
        <w:rPr>
          <w:rFonts w:ascii="Times New Roman" w:hAnsi="Times New Roman"/>
          <w:b/>
          <w:i w:val="false"/>
          <w:color w:val="000000"/>
          <w:sz w:val="22"/>
        </w:rPr>
        <w:t>61—8.2</w:t>
      </w:r>
      <w:r>
        <w:rPr>
          <w:rFonts w:ascii="Times New Roman" w:hAnsi="Times New Roman"/>
          <w:b/>
          <w:i w:val="false"/>
          <w:color w:val="000000"/>
          <w:sz w:val="22"/>
        </w:rPr>
        <w:t xml:space="preserve">(13) </w:t>
      </w:r>
      <w:r>
        <w:rPr>
          <w:rFonts w:ascii="Times New Roman" w:hAnsi="Times New Roman"/>
          <w:b/>
          <w:i w:val="false"/>
          <w:color w:val="000000"/>
          <w:sz w:val="22"/>
        </w:rPr>
        <w:t xml:space="preserve">Persons required to submit specimens.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has been convicted at any time of a listed offense shall, prior to being granted probation, parole, work release or discharge, submit to DNA profiling under the provisions of Iowa Code section </w:t>
      </w:r>
      <w:hyperlink r:id="rId5">
        <w:r>
          <w:rPr>
            <w:rStyle w:val="Hyperlink"/>
            <w:rFonts w:ascii="Times New Roman" w:hAnsi="Times New Roman"/>
            <w:b w:val="false"/>
            <w:i w:val="false"/>
            <w:color w:val="000000"/>
            <w:sz w:val="22"/>
          </w:rPr>
          <w:t>13.10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w:t>
      </w:r>
      <w:r>
        <w:rPr>
          <w:rFonts w:ascii="Times New Roman" w:hAnsi="Times New Roman"/>
          <w:b w:val="false"/>
          <w:i w:val="false"/>
          <w:color w:val="000000"/>
          <w:sz w:val="22"/>
        </w:rPr>
        <w:t> </w:t>
      </w:r>
      <w:r>
        <w:rPr>
          <w:rFonts w:ascii="Times New Roman" w:hAnsi="Times New Roman"/>
          <w:b w:val="false"/>
          <w:i w:val="false"/>
          <w:color w:val="000000"/>
          <w:sz w:val="22"/>
        </w:rPr>
        <w:t>If the person has previously provided a specimen, the responsible agency shall make a determination as to whether another DNA specimen should be provided.</w:t>
      </w:r>
    </w:p>
    <w:p>
      <w:pPr>
        <w:spacing w:before="0" w:after="0"/>
        <w:ind w:left="120"/>
        <w:jc w:val="both"/>
      </w:pPr>
      <w:r>
        <w:rPr>
          <w:rFonts w:ascii="Times New Roman" w:hAnsi="Times New Roman"/>
          <w:b/>
          <w:i w:val="false"/>
          <w:color w:val="000000"/>
          <w:sz w:val="22"/>
        </w:rPr>
        <w:t>61—8.3</w:t>
      </w:r>
      <w:r>
        <w:rPr>
          <w:rFonts w:ascii="Times New Roman" w:hAnsi="Times New Roman"/>
          <w:b/>
          <w:i w:val="false"/>
          <w:color w:val="000000"/>
          <w:sz w:val="22"/>
        </w:rPr>
        <w:t xml:space="preserve">(13) </w:t>
      </w:r>
      <w:r>
        <w:rPr>
          <w:rFonts w:ascii="Times New Roman" w:hAnsi="Times New Roman"/>
          <w:b/>
          <w:i w:val="false"/>
          <w:color w:val="000000"/>
          <w:sz w:val="22"/>
        </w:rPr>
        <w:t xml:space="preserve">Listed offenses. </w:t>
      </w:r>
      <w:r>
        <w:rPr>
          <w:rFonts w:ascii="Times New Roman" w:hAnsi="Times New Roman"/>
          <w:b w:val="false"/>
          <w:i w:val="false"/>
          <w:color w:val="000000"/>
          <w:sz w:val="22"/>
        </w:rPr>
        <w:t>The following are listed offenses for the purpose of these rules: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Murder (Iowa Code section </w:t>
      </w:r>
      <w:hyperlink r:id="rId6">
        <w:r>
          <w:rPr>
            <w:rStyle w:val="Hyperlink"/>
            <w:rFonts w:ascii="Times New Roman" w:hAnsi="Times New Roman"/>
            <w:b w:val="false"/>
            <w:i w:val="false"/>
            <w:color w:val="000000"/>
            <w:sz w:val="22"/>
          </w:rPr>
          <w:t>707.2</w:t>
        </w:r>
      </w:hyperlink>
      <w:r>
        <w:rPr>
          <w:rFonts w:ascii="Times New Roman" w:hAnsi="Times New Roman"/>
          <w:b w:val="false"/>
          <w:i w:val="false"/>
          <w:color w:val="000000"/>
          <w:sz w:val="22"/>
        </w:rPr>
        <w:t xml:space="preserve"> or section </w:t>
      </w:r>
      <w:hyperlink r:id="rId7">
        <w:r>
          <w:rPr>
            <w:rStyle w:val="Hyperlink"/>
            <w:rFonts w:ascii="Times New Roman" w:hAnsi="Times New Roman"/>
            <w:b w:val="false"/>
            <w:i w:val="false"/>
            <w:color w:val="000000"/>
            <w:sz w:val="22"/>
          </w:rPr>
          <w:t>707.3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Attempt to commit murder (Iowa Code section </w:t>
      </w:r>
      <w:hyperlink r:id="rId8">
        <w:r>
          <w:rPr>
            <w:rStyle w:val="Hyperlink"/>
            <w:rFonts w:ascii="Times New Roman" w:hAnsi="Times New Roman"/>
            <w:b w:val="false"/>
            <w:i w:val="false"/>
            <w:color w:val="000000"/>
            <w:sz w:val="22"/>
          </w:rPr>
          <w:t>707.11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Kidnapping (Iowa Code sections </w:t>
      </w:r>
      <w:hyperlink r:id="rId9">
        <w:r>
          <w:rPr>
            <w:rStyle w:val="Hyperlink"/>
            <w:rFonts w:ascii="Times New Roman" w:hAnsi="Times New Roman"/>
            <w:b w:val="false"/>
            <w:i w:val="false"/>
            <w:color w:val="000000"/>
            <w:sz w:val="22"/>
          </w:rPr>
          <w:t>710.1</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710.2</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710.3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Sexual abuse (Iowa Code sections </w:t>
      </w:r>
      <w:hyperlink r:id="rId12">
        <w:r>
          <w:rPr>
            <w:rStyle w:val="Hyperlink"/>
            <w:rFonts w:ascii="Times New Roman" w:hAnsi="Times New Roman"/>
            <w:b w:val="false"/>
            <w:i w:val="false"/>
            <w:color w:val="000000"/>
            <w:sz w:val="22"/>
          </w:rPr>
          <w:t>709.2</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709.3</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709.4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Assault with intent to commit sexual abuse (Iowa Code section </w:t>
      </w:r>
      <w:hyperlink r:id="rId15">
        <w:r>
          <w:rPr>
            <w:rStyle w:val="Hyperlink"/>
            <w:rFonts w:ascii="Times New Roman" w:hAnsi="Times New Roman"/>
            <w:b w:val="false"/>
            <w:i w:val="false"/>
            <w:color w:val="000000"/>
            <w:sz w:val="22"/>
          </w:rPr>
          <w:t>709.11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Assault while participating in a felony (Iowa Code section </w:t>
      </w:r>
      <w:hyperlink r:id="rId16">
        <w:r>
          <w:rPr>
            <w:rStyle w:val="Hyperlink"/>
            <w:rFonts w:ascii="Times New Roman" w:hAnsi="Times New Roman"/>
            <w:b w:val="false"/>
            <w:i w:val="false"/>
            <w:color w:val="000000"/>
            <w:sz w:val="22"/>
          </w:rPr>
          <w:t>708.3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 xml:space="preserve">Burglary in the first degree (Iowa Code section </w:t>
      </w:r>
      <w:hyperlink r:id="rId17">
        <w:r>
          <w:rPr>
            <w:rStyle w:val="Hyperlink"/>
            <w:rFonts w:ascii="Times New Roman" w:hAnsi="Times New Roman"/>
            <w:b w:val="false"/>
            <w:i w:val="false"/>
            <w:color w:val="000000"/>
            <w:sz w:val="22"/>
          </w:rPr>
          <w:t>713.3</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61—8.4</w:t>
      </w:r>
      <w:r>
        <w:rPr>
          <w:rFonts w:ascii="Times New Roman" w:hAnsi="Times New Roman"/>
          <w:b w:val="false"/>
          <w:i w:val="false"/>
          <w:color w:val="000000"/>
          <w:sz w:val="22"/>
        </w:rPr>
        <w:t>Reserved.</w:t>
      </w:r>
    </w:p>
    <w:p>
      <w:pPr>
        <w:spacing w:before="210" w:after="0"/>
        <w:ind w:left="120"/>
        <w:jc w:val="both"/>
      </w:pPr>
      <w:r>
        <w:rPr>
          <w:rFonts w:ascii="Times New Roman" w:hAnsi="Times New Roman"/>
          <w:b/>
          <w:i w:val="false"/>
          <w:color w:val="000000"/>
          <w:sz w:val="22"/>
        </w:rPr>
        <w:t>61—8.5</w:t>
      </w:r>
      <w:r>
        <w:rPr>
          <w:rFonts w:ascii="Times New Roman" w:hAnsi="Times New Roman"/>
          <w:b/>
          <w:i w:val="false"/>
          <w:color w:val="000000"/>
          <w:sz w:val="22"/>
        </w:rPr>
        <w:t xml:space="preserve">(13) </w:t>
      </w:r>
      <w:r>
        <w:rPr>
          <w:rFonts w:ascii="Times New Roman" w:hAnsi="Times New Roman"/>
          <w:b/>
          <w:i w:val="false"/>
          <w:color w:val="000000"/>
          <w:sz w:val="22"/>
        </w:rPr>
        <w:t xml:space="preserve">Prescribed sample techniques. </w:t>
      </w:r>
      <w:r>
        <w:rPr>
          <w:rFonts w:ascii="Times New Roman" w:hAnsi="Times New Roman"/>
          <w:b w:val="false"/>
          <w:i w:val="false"/>
          <w:color w:val="000000"/>
          <w:sz w:val="22"/>
        </w:rPr>
        <w:t>The sample size, methods of drawing and preservation, labeling and shipping shall be as specified by the administrator of the division of criminal investigation criminalistics laboratory, department of public safety.</w:t>
      </w:r>
    </w:p>
    <w:p>
      <w:pPr>
        <w:spacing w:before="210" w:after="0"/>
        <w:ind w:left="120"/>
        <w:jc w:val="both"/>
      </w:pPr>
      <w:r>
        <w:rPr>
          <w:rFonts w:ascii="Times New Roman" w:hAnsi="Times New Roman"/>
          <w:b/>
          <w:i w:val="false"/>
          <w:color w:val="000000"/>
          <w:sz w:val="22"/>
        </w:rPr>
        <w:t>61—8.6</w:t>
      </w:r>
      <w:r>
        <w:rPr>
          <w:rFonts w:ascii="Times New Roman" w:hAnsi="Times New Roman"/>
          <w:b/>
          <w:i w:val="false"/>
          <w:color w:val="000000"/>
          <w:sz w:val="22"/>
        </w:rPr>
        <w:t xml:space="preserve">(13) </w:t>
      </w:r>
      <w:r>
        <w:rPr>
          <w:rFonts w:ascii="Times New Roman" w:hAnsi="Times New Roman"/>
          <w:b/>
          <w:i w:val="false"/>
          <w:color w:val="000000"/>
          <w:sz w:val="22"/>
        </w:rPr>
        <w:t xml:space="preserve">Effective date.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1/24/01</w:t>
      </w:r>
      <w:r>
        <w:rPr>
          <w:rFonts w:ascii="Times New Roman" w:hAnsi="Times New Roman"/>
          <w:b w:val="false"/>
          <w:i w:val="false"/>
          <w:color w:val="000000"/>
          <w:sz w:val="22"/>
        </w:rPr>
        <w:t>, effective 2/28/01.</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8">
        <w:r>
          <w:rPr>
            <w:rStyle w:val="Hyperlink"/>
            <w:rFonts w:ascii="Times New Roman" w:hAnsi="Times New Roman"/>
            <w:b w:val="false"/>
            <w:i w:val="false"/>
            <w:color w:val="000000"/>
            <w:sz w:val="22"/>
          </w:rPr>
          <w:t>13.10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 xml:space="preserve">[Filed 4/24/91, 12/12/90—published 5/15/91, effective (see </w:t>
      </w:r>
      <w:hyperlink r:id="rId19">
        <w:r>
          <w:rPr>
            <w:rStyle w:val="Hyperlink"/>
            <w:rFonts w:ascii="Times New Roman" w:hAnsi="Times New Roman"/>
            <w:b w:val="false"/>
            <w:i w:val="false"/>
            <w:color w:val="000000"/>
            <w:sz w:val="21"/>
          </w:rPr>
          <w:t>61—8.6(13)</w:t>
        </w:r>
      </w:hyperlink>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1/5/01, Notice 11/1/00—published 1/24/01, effective 2/28/01]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3.10.pdf" Type="http://schemas.openxmlformats.org/officeDocument/2006/relationships/hyperlink" Id="rId5"/>
    <Relationship TargetMode="External" Target="https://www.legis.iowa.gov/docs/ico/chapter/707.2.pdf" Type="http://schemas.openxmlformats.org/officeDocument/2006/relationships/hyperlink" Id="rId6"/>
    <Relationship TargetMode="External" Target="https://www.legis.iowa.gov/docs/ico/chapter/707.3.pdf" Type="http://schemas.openxmlformats.org/officeDocument/2006/relationships/hyperlink" Id="rId7"/>
    <Relationship TargetMode="External" Target="https://www.legis.iowa.gov/docs/ico/chapter/707.11.pdf" Type="http://schemas.openxmlformats.org/officeDocument/2006/relationships/hyperlink" Id="rId8"/>
    <Relationship TargetMode="External" Target="https://www.legis.iowa.gov/docs/ico/chapter/710.1.pdf" Type="http://schemas.openxmlformats.org/officeDocument/2006/relationships/hyperlink" Id="rId9"/>
    <Relationship TargetMode="External" Target="https://www.legis.iowa.gov/docs/ico/chapter/710.2.pdf" Type="http://schemas.openxmlformats.org/officeDocument/2006/relationships/hyperlink" Id="rId10"/>
    <Relationship TargetMode="External" Target="https://www.legis.iowa.gov/docs/ico/chapter/710.3.pdf" Type="http://schemas.openxmlformats.org/officeDocument/2006/relationships/hyperlink" Id="rId11"/>
    <Relationship TargetMode="External" Target="https://www.legis.iowa.gov/docs/ico/chapter/709.2.pdf" Type="http://schemas.openxmlformats.org/officeDocument/2006/relationships/hyperlink" Id="rId12"/>
    <Relationship TargetMode="External" Target="https://www.legis.iowa.gov/docs/ico/chapter/709.3.pdf" Type="http://schemas.openxmlformats.org/officeDocument/2006/relationships/hyperlink" Id="rId13"/>
    <Relationship TargetMode="External" Target="https://www.legis.iowa.gov/docs/ico/chapter/709.4.pdf" Type="http://schemas.openxmlformats.org/officeDocument/2006/relationships/hyperlink" Id="rId14"/>
    <Relationship TargetMode="External" Target="https://www.legis.iowa.gov/docs/ico/chapter/709.11.pdf" Type="http://schemas.openxmlformats.org/officeDocument/2006/relationships/hyperlink" Id="rId15"/>
    <Relationship TargetMode="External" Target="https://www.legis.iowa.gov/docs/ico/chapter/708.3.pdf" Type="http://schemas.openxmlformats.org/officeDocument/2006/relationships/hyperlink" Id="rId16"/>
    <Relationship TargetMode="External" Target="https://www.legis.iowa.gov/docs/ico/chapter/713.3.pdf" Type="http://schemas.openxmlformats.org/officeDocument/2006/relationships/hyperlink" Id="rId17"/>
    <Relationship TargetMode="External" Target="https://www.legis.iowa.gov/docs/ico/chapter/13.10.pdf" Type="http://schemas.openxmlformats.org/officeDocument/2006/relationships/hyperlink" Id="rId18"/>
    <Relationship TargetMode="External" Target="https://www.legis.iowa.gov/docs/iac/rule/61.8.6.pdf" Type="http://schemas.openxmlformats.org/officeDocument/2006/relationships/hyperlink"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