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QUARTERLY ESCROW INSTALLMENTS FROM</w:t>
      </w:r>
      <w:r>
        <w:br/>
      </w:r>
      <w:r>
        <w:rPr>
          <w:rFonts w:ascii="Times New Roman" w:hAnsi="Times New Roman"/>
          <w:b w:val="false"/>
          <w:i w:val="false"/>
          <w:color w:val="000000"/>
          <w:sz w:val="21"/>
        </w:rPr>
        <w:t>PARTICULAR NONPARTICIPATING MANUFACTURERS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61—5.1</w:t>
      </w:r>
      <w:r>
        <w:rPr>
          <w:rFonts w:ascii="Times New Roman" w:hAnsi="Times New Roman"/>
          <w:b/>
          <w:i w:val="false"/>
          <w:color w:val="000000"/>
          <w:sz w:val="22"/>
        </w:rPr>
        <w:t xml:space="preserve">(453D)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To promote compliance with Iowa Code chapter </w:t>
      </w:r>
      <w:hyperlink r:id="rId5">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and Iowa Code Supplement section </w:t>
      </w:r>
      <w:hyperlink r:id="rId6">
        <w:r>
          <w:rPr>
            <w:rStyle w:val="Hyperlink"/>
            <w:rFonts w:ascii="Times New Roman" w:hAnsi="Times New Roman"/>
            <w:b w:val="false"/>
            <w:i w:val="false"/>
            <w:color w:val="000000"/>
            <w:sz w:val="22"/>
          </w:rPr>
          <w:t>453D.5(5)</w:t>
        </w:r>
      </w:hyperlink>
      <w:r>
        <w:rPr>
          <w:rFonts w:ascii="Times New Roman" w:hAnsi="Times New Roman"/>
          <w:b w:val="false"/>
          <w:i w:val="false"/>
          <w:color w:val="000000"/>
          <w:sz w:val="22"/>
        </w:rPr>
        <w:t xml:space="preserve">, the attorney general may require nonparticipating manufacturers to make escrow payments required by Iowa Code section </w:t>
      </w:r>
      <w:hyperlink r:id="rId7">
        <w:r>
          <w:rPr>
            <w:rStyle w:val="Hyperlink"/>
            <w:rFonts w:ascii="Times New Roman" w:hAnsi="Times New Roman"/>
            <w:b w:val="false"/>
            <w:i w:val="false"/>
            <w:color w:val="000000"/>
            <w:sz w:val="22"/>
          </w:rPr>
          <w:t>453C.2(2)</w:t>
        </w:r>
      </w:hyperlink>
      <w:r>
        <w:rPr>
          <w:rFonts w:ascii="Times New Roman" w:hAnsi="Times New Roman"/>
          <w:b w:val="false"/>
          <w:i w:val="false"/>
          <w:color w:val="000000"/>
          <w:sz w:val="22"/>
        </w:rPr>
        <w:t xml:space="preserve"> in quarterly installments during the year in which sales covered by such payments are made.</w:t>
      </w:r>
    </w:p>
    <w:p>
      <w:pPr>
        <w:spacing w:before="0" w:after="0"/>
        <w:ind w:left="120"/>
        <w:jc w:val="both"/>
      </w:pPr>
      <w:r>
        <w:rPr>
          <w:rFonts w:ascii="Times New Roman" w:hAnsi="Times New Roman"/>
          <w:b/>
          <w:i w:val="false"/>
          <w:color w:val="000000"/>
          <w:sz w:val="22"/>
        </w:rPr>
        <w:t>61—5.2</w:t>
      </w:r>
      <w:r>
        <w:rPr>
          <w:rFonts w:ascii="Times New Roman" w:hAnsi="Times New Roman"/>
          <w:b/>
          <w:i w:val="false"/>
          <w:color w:val="000000"/>
          <w:sz w:val="22"/>
        </w:rPr>
        <w:t xml:space="preserve">(453D)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“Nonparticipating manufacturer” </w:t>
      </w:r>
      <w:r>
        <w:rPr>
          <w:rFonts w:ascii="Times New Roman" w:hAnsi="Times New Roman"/>
          <w:b w:val="false"/>
          <w:i w:val="false"/>
          <w:color w:val="000000"/>
          <w:sz w:val="22"/>
        </w:rPr>
        <w:t xml:space="preserve">has the same meaning in this rule as that cited in Iowa Code Supplement section </w:t>
      </w:r>
      <w:hyperlink r:id="rId8">
        <w:r>
          <w:rPr>
            <w:rStyle w:val="Hyperlink"/>
            <w:rFonts w:ascii="Times New Roman" w:hAnsi="Times New Roman"/>
            <w:b w:val="false"/>
            <w:i w:val="false"/>
            <w:color w:val="000000"/>
            <w:sz w:val="22"/>
          </w:rPr>
          <w:t>453D.2(7)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manufacturer” </w:t>
      </w:r>
      <w:r>
        <w:rPr>
          <w:rFonts w:ascii="Times New Roman" w:hAnsi="Times New Roman"/>
          <w:b w:val="false"/>
          <w:i w:val="false"/>
          <w:color w:val="000000"/>
          <w:sz w:val="22"/>
        </w:rPr>
        <w:t xml:space="preserve">has the same meaning in this rule as that cited in Iowa Code Supplement section </w:t>
      </w:r>
      <w:hyperlink r:id="rId9">
        <w:r>
          <w:rPr>
            <w:rStyle w:val="Hyperlink"/>
            <w:rFonts w:ascii="Times New Roman" w:hAnsi="Times New Roman"/>
            <w:b w:val="false"/>
            <w:i w:val="false"/>
            <w:color w:val="000000"/>
            <w:sz w:val="22"/>
          </w:rPr>
          <w:t>453D.2(8)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61—5.3</w:t>
      </w:r>
      <w:r>
        <w:rPr>
          <w:rFonts w:ascii="Times New Roman" w:hAnsi="Times New Roman"/>
          <w:b/>
          <w:i w:val="false"/>
          <w:color w:val="000000"/>
          <w:sz w:val="22"/>
        </w:rPr>
        <w:t xml:space="preserve">(453D)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attorney general may require quarterly payments from a nonparticipating manufacturer to which any of the following criteria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No previous escrow deposit. </w:t>
      </w:r>
      <w:r>
        <w:rPr>
          <w:rFonts w:ascii="Times New Roman" w:hAnsi="Times New Roman"/>
          <w:b w:val="false"/>
          <w:i w:val="false"/>
          <w:color w:val="000000"/>
          <w:sz w:val="22"/>
        </w:rPr>
        <w:t>The nonparticipating manufacturer has not previously established and funded a qualified escrow fund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No escrow deposit for more than one year. </w:t>
      </w:r>
      <w:r>
        <w:rPr>
          <w:rFonts w:ascii="Times New Roman" w:hAnsi="Times New Roman"/>
          <w:b w:val="false"/>
          <w:i w:val="false"/>
          <w:color w:val="000000"/>
          <w:sz w:val="22"/>
        </w:rPr>
        <w:t>The nonparticipating manufacturer has not made any escrow deposits for more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Untimely or incomplete deposits. </w:t>
      </w:r>
      <w:r>
        <w:rPr>
          <w:rFonts w:ascii="Times New Roman" w:hAnsi="Times New Roman"/>
          <w:b w:val="false"/>
          <w:i w:val="false"/>
          <w:color w:val="000000"/>
          <w:sz w:val="22"/>
        </w:rPr>
        <w:t>The nonparticipating manufacturer has failed to make a timely and complete escrow deposit for any prior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Outstanding judgments. </w:t>
      </w:r>
      <w:r>
        <w:rPr>
          <w:rFonts w:ascii="Times New Roman" w:hAnsi="Times New Roman"/>
          <w:b w:val="false"/>
          <w:i w:val="false"/>
          <w:color w:val="000000"/>
          <w:sz w:val="22"/>
        </w:rPr>
        <w:t>The nonparticipating manufacturer has failed to pay any judgment awarded to the state, including any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color w:val="000000"/>
          <w:sz w:val="22"/>
        </w:rPr>
        <w:t xml:space="preserve">Large sales volume. </w:t>
      </w:r>
      <w:r>
        <w:rPr>
          <w:rFonts w:ascii="Times New Roman" w:hAnsi="Times New Roman"/>
          <w:b w:val="false"/>
          <w:i w:val="false"/>
          <w:color w:val="000000"/>
          <w:sz w:val="22"/>
        </w:rPr>
        <w:t>The nonparticipating manufacturer sells more than 1,630,000 sticks or 147,000 ounces of roll-your-own product during a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w:t>
      </w:r>
      <w:r>
        <w:rPr>
          <w:rFonts w:ascii="Times New Roman" w:hAnsi="Times New Roman"/>
          <w:b w:val="false"/>
          <w:i w:val="false"/>
          <w:color w:val="000000"/>
          <w:sz w:val="22"/>
        </w:rPr>
        <w:t> </w:t>
      </w:r>
      <w:r>
        <w:rPr>
          <w:rFonts w:ascii="Times New Roman" w:hAnsi="Times New Roman"/>
          <w:b w:val="false"/>
          <w:i/>
          <w:color w:val="000000"/>
          <w:sz w:val="22"/>
        </w:rPr>
        <w:t xml:space="preserve">Other reasonable cause. </w:t>
      </w:r>
      <w:r>
        <w:rPr>
          <w:rFonts w:ascii="Times New Roman" w:hAnsi="Times New Roman"/>
          <w:b w:val="false"/>
          <w:i w:val="false"/>
          <w:color w:val="000000"/>
          <w:sz w:val="22"/>
        </w:rPr>
        <w:t xml:space="preserve">In addition to the criteria specified in </w:t>
      </w:r>
      <w:hyperlink r:id="rId10">
        <w:r>
          <w:rPr>
            <w:rStyle w:val="Hyperlink"/>
            <w:rFonts w:ascii="Times New Roman" w:hAnsi="Times New Roman"/>
            <w:b w:val="false"/>
            <w:i w:val="false"/>
            <w:color w:val="000000"/>
            <w:sz w:val="22"/>
          </w:rPr>
          <w:t>subrules 5.3(1)</w:t>
        </w:r>
      </w:hyperlink>
      <w:r>
        <w:rPr>
          <w:rFonts w:ascii="Times New Roman" w:hAnsi="Times New Roman"/>
          <w:b w:val="false"/>
          <w:i w:val="false"/>
          <w:color w:val="000000"/>
          <w:sz w:val="22"/>
        </w:rPr>
        <w:t xml:space="preserve"> to </w:t>
      </w:r>
      <w:hyperlink r:id="rId11">
        <w:r>
          <w:rPr>
            <w:rStyle w:val="Hyperlink"/>
            <w:rFonts w:ascii="Times New Roman" w:hAnsi="Times New Roman"/>
            <w:b w:val="false"/>
            <w:i w:val="false"/>
            <w:color w:val="000000"/>
            <w:sz w:val="22"/>
          </w:rPr>
          <w:t>5.3(5)</w:t>
        </w:r>
      </w:hyperlink>
      <w:r>
        <w:rPr>
          <w:rFonts w:ascii="Times New Roman" w:hAnsi="Times New Roman"/>
          <w:b w:val="false"/>
          <w:i w:val="false"/>
          <w:color w:val="000000"/>
          <w:sz w:val="22"/>
        </w:rPr>
        <w:t>, the attorney general may require quarterly payments from a nonparticipating manufacturer if the attorney general has reasonable cause to believe that the nonparticipating manufacturer may not make its full required escrow deposit at the end of the sales year.</w:t>
      </w:r>
    </w:p>
    <w:p>
      <w:pPr>
        <w:spacing w:before="0" w:after="0"/>
        <w:ind w:left="120"/>
        <w:jc w:val="both"/>
      </w:pPr>
      <w:r>
        <w:rPr>
          <w:rFonts w:ascii="Times New Roman" w:hAnsi="Times New Roman"/>
          <w:b/>
          <w:i w:val="false"/>
          <w:color w:val="000000"/>
          <w:sz w:val="22"/>
        </w:rPr>
        <w:t>61—5.4</w:t>
      </w:r>
      <w:r>
        <w:rPr>
          <w:rFonts w:ascii="Times New Roman" w:hAnsi="Times New Roman"/>
          <w:b/>
          <w:i w:val="false"/>
          <w:color w:val="000000"/>
          <w:sz w:val="22"/>
        </w:rPr>
        <w:t xml:space="preserve">(453D) </w:t>
      </w:r>
      <w:r>
        <w:rPr>
          <w:rFonts w:ascii="Times New Roman" w:hAnsi="Times New Roman"/>
          <w:b/>
          <w:i w:val="false"/>
          <w:color w:val="000000"/>
          <w:sz w:val="22"/>
        </w:rPr>
        <w:t xml:space="preserve">Deadlines. </w:t>
      </w:r>
      <w:r>
        <w:rPr>
          <w:rFonts w:ascii="Times New Roman" w:hAnsi="Times New Roman"/>
          <w:b w:val="false"/>
          <w:i w:val="false"/>
          <w:color w:val="000000"/>
          <w:sz w:val="22"/>
        </w:rPr>
        <w:t>Nonparticipating manufacturers required to make quarterly payments must do so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Payments for sales occurring in the first quarter, January 1 through March 31, are due April 30 of the same year. The attorney general’s office must receive official notification of the payments no later than May 10 of the same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Payments for sales occurring in the second quarter, April 1 through June 30, are due July 31 of the same year. The attorney general’s office must receive official notification of the payments no later than August 10 of the same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Payments for sales occurring in the third quarter, July 1 through September 30, are due October 31 of the same year. The attorney general’s office must receive official notification of the payments no later than November 10 of the same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val="false"/>
          <w:color w:val="000000"/>
          <w:sz w:val="22"/>
        </w:rPr>
        <w:t>Payments for sales occurring in the fourth quarter, October 1 through December 31, are due January 31 of the next year. The attorney general’s office must receive official notification of the payments no later than February 10 of the next year.</w:t>
      </w:r>
    </w:p>
    <w:p>
      <w:pPr>
        <w:spacing w:before="0" w:after="0"/>
        <w:ind w:left="120"/>
        <w:jc w:val="both"/>
      </w:pPr>
      <w:r>
        <w:rPr>
          <w:rFonts w:ascii="Times New Roman" w:hAnsi="Times New Roman"/>
          <w:b/>
          <w:i w:val="false"/>
          <w:color w:val="000000"/>
          <w:sz w:val="22"/>
        </w:rPr>
        <w:t>61—5.5</w:t>
      </w:r>
      <w:r>
        <w:rPr>
          <w:rFonts w:ascii="Times New Roman" w:hAnsi="Times New Roman"/>
          <w:b/>
          <w:i w:val="false"/>
          <w:color w:val="000000"/>
          <w:sz w:val="22"/>
        </w:rPr>
        <w:t xml:space="preserve">(453D) </w:t>
      </w:r>
      <w:r>
        <w:rPr>
          <w:rFonts w:ascii="Times New Roman" w:hAnsi="Times New Roman"/>
          <w:b/>
          <w:i w:val="false"/>
          <w:color w:val="000000"/>
          <w:sz w:val="22"/>
        </w:rPr>
        <w:t xml:space="preserve">Penalties. </w:t>
      </w:r>
      <w:r>
        <w:rPr>
          <w:rFonts w:ascii="Times New Roman" w:hAnsi="Times New Roman"/>
          <w:b w:val="false"/>
          <w:i w:val="false"/>
          <w:color w:val="000000"/>
          <w:sz w:val="22"/>
        </w:rPr>
        <w:t>The nonparticipating manufacturer and its brands may be removed from the Iowa Directory of Certified Tobacco Manufacturers and Brands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Required quarterly escrow payments are not timely made in full;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attorney general is not timely notified that the quarterly escrow payments have been made in full.</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12">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C.pdf" Type="http://schemas.openxmlformats.org/officeDocument/2006/relationships/hyperlink" Id="rId5"/>
    <Relationship TargetMode="External" Target="https://www.legis.iowa.gov/docs/ico/chapter/453D.5.pdf" Type="http://schemas.openxmlformats.org/officeDocument/2006/relationships/hyperlink" Id="rId6"/>
    <Relationship TargetMode="External" Target="https://www.legis.iowa.gov/docs/ico/chapter/453C.2.pdf" Type="http://schemas.openxmlformats.org/officeDocument/2006/relationships/hyperlink" Id="rId7"/>
    <Relationship TargetMode="External" Target="https://www.legis.iowa.gov/docs/ico/chapter/453D.2.pdf" Type="http://schemas.openxmlformats.org/officeDocument/2006/relationships/hyperlink" Id="rId8"/>
    <Relationship TargetMode="External" Target="https://www.legis.iowa.gov/docs/ico/chapter/453D.2.pdf" Type="http://schemas.openxmlformats.org/officeDocument/2006/relationships/hyperlink" Id="rId9"/>
    <Relationship TargetMode="External" Target="https://www.legis.iowa.gov/docs/iac/rule/61.5.3.pdf" Type="http://schemas.openxmlformats.org/officeDocument/2006/relationships/hyperlink" Id="rId10"/>
    <Relationship TargetMode="External" Target="https://www.legis.iowa.gov/docs/iac/rule/61.5.3.pdf" Type="http://schemas.openxmlformats.org/officeDocument/2006/relationships/hyperlink" Id="rId11"/>
    <Relationship TargetMode="External" Target="https://www.legis.iowa.gov/docs/ico/chapter/453D.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