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35</w:t>
      </w:r>
    </w:p>
    <w:p>
      <w:pPr>
        <w:spacing w:before="0" w:after="0"/>
        <w:ind w:left="120"/>
        <w:jc w:val="center"/>
      </w:pPr>
      <w:r>
        <w:rPr>
          <w:rFonts w:ascii="Times New Roman" w:hAnsi="Times New Roman"/>
          <w:b w:val="false"/>
          <w:i w:val="false"/>
          <w:color w:val="000000"/>
          <w:sz w:val="21"/>
        </w:rPr>
        <w:t>IDENTITY THEFT PASSPORT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61—35.1</w:t>
      </w:r>
      <w:r>
        <w:rPr>
          <w:rFonts w:ascii="Times New Roman" w:hAnsi="Times New Roman"/>
          <w:b/>
          <w:i w:val="false"/>
          <w:color w:val="000000"/>
          <w:sz w:val="22"/>
        </w:rPr>
        <w:t xml:space="preserve">(715A)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“Creditor” </w:t>
      </w:r>
      <w:r>
        <w:rPr>
          <w:rFonts w:ascii="Times New Roman" w:hAnsi="Times New Roman"/>
          <w:b w:val="false"/>
          <w:i w:val="false"/>
          <w:color w:val="000000"/>
          <w:sz w:val="22"/>
        </w:rPr>
        <w:t>means a person or entity who is owed money or property by another person via the extension of credit to that other person to defer payment of debt, to incur debt and defer its payment, or to purchase property or services and defer payment therefor, or a person or entity to whom a creditor’s right to payment has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crime victim assistance division in the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director” </w:t>
      </w:r>
      <w:r>
        <w:rPr>
          <w:rFonts w:ascii="Times New Roman" w:hAnsi="Times New Roman"/>
          <w:b w:val="false"/>
          <w:i w:val="false"/>
          <w:color w:val="000000"/>
          <w:sz w:val="22"/>
        </w:rPr>
        <w:t>means the director of the crime victim assistance division in the attorney general’s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“Identity theft” </w:t>
      </w:r>
      <w:r>
        <w:rPr>
          <w:rFonts w:ascii="Times New Roman" w:hAnsi="Times New Roman"/>
          <w:b w:val="false"/>
          <w:i w:val="false"/>
          <w:color w:val="000000"/>
          <w:sz w:val="22"/>
        </w:rPr>
        <w:t xml:space="preserve">means the commission of the offense of identity theft, as stated in Iowa Code section </w:t>
      </w:r>
      <w:hyperlink r:id="rId5">
        <w:r>
          <w:rPr>
            <w:rStyle w:val="Hyperlink"/>
            <w:rFonts w:ascii="Times New Roman" w:hAnsi="Times New Roman"/>
            <w:b w:val="false"/>
            <w:i w:val="false"/>
            <w:color w:val="000000"/>
            <w:sz w:val="22"/>
          </w:rPr>
          <w:t>715A.8(2)</w:t>
        </w:r>
      </w:hyperlink>
      <w:r>
        <w:rPr>
          <w:rFonts w:ascii="Times New Roman" w:hAnsi="Times New Roman"/>
          <w:b w:val="false"/>
          <w:i w:val="false"/>
          <w:color w:val="000000"/>
          <w:sz w:val="22"/>
        </w:rPr>
        <w:t>, which includes when a person fraudulently uses or attempts to fraudulently use identification information of another person, with the intent to obtain credit, property, services, or other benefit.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“Law enforcement agency” </w:t>
      </w:r>
      <w:r>
        <w:rPr>
          <w:rFonts w:ascii="Times New Roman" w:hAnsi="Times New Roman"/>
          <w:b w:val="false"/>
          <w:i w:val="false"/>
          <w:color w:val="000000"/>
          <w:sz w:val="22"/>
        </w:rPr>
        <w:t>means an agency that employs peace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“Peace officer”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801.4(11)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means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“Report of identity theft” </w:t>
      </w:r>
      <w:r>
        <w:rPr>
          <w:rFonts w:ascii="Times New Roman" w:hAnsi="Times New Roman"/>
          <w:b w:val="false"/>
          <w:i w:val="false"/>
          <w:color w:val="000000"/>
          <w:sz w:val="22"/>
        </w:rPr>
        <w:t xml:space="preserve">means a request by a person to a peace officer in any jurisdiction described in Iowa Code section </w:t>
      </w:r>
      <w:hyperlink r:id="rId7">
        <w:r>
          <w:rPr>
            <w:rStyle w:val="Hyperlink"/>
            <w:rFonts w:ascii="Times New Roman" w:hAnsi="Times New Roman"/>
            <w:b w:val="false"/>
            <w:i w:val="false"/>
            <w:color w:val="000000"/>
            <w:sz w:val="22"/>
          </w:rPr>
          <w:t>715A.8(5)</w:t>
        </w:r>
      </w:hyperlink>
      <w:r>
        <w:rPr>
          <w:rFonts w:ascii="Times New Roman" w:hAnsi="Times New Roman"/>
          <w:b w:val="false"/>
          <w:i w:val="false"/>
          <w:color w:val="000000"/>
          <w:sz w:val="22"/>
        </w:rPr>
        <w:t xml:space="preserve"> for the peace officer to take a report regarding an alleged commission of identity theft against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“Victim” </w:t>
      </w:r>
      <w:r>
        <w:rPr>
          <w:rFonts w:ascii="Times New Roman" w:hAnsi="Times New Roman"/>
          <w:b w:val="false"/>
          <w:i w:val="false"/>
          <w:color w:val="000000"/>
          <w:sz w:val="22"/>
        </w:rPr>
        <w:t>means a person who alleges that identity theft has been committed against the person.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61—35.2</w:t>
      </w:r>
      <w:r>
        <w:rPr>
          <w:rFonts w:ascii="Times New Roman" w:hAnsi="Times New Roman"/>
          <w:b/>
          <w:i w:val="false"/>
          <w:color w:val="000000"/>
          <w:sz w:val="22"/>
        </w:rPr>
        <w:t xml:space="preserve">(715A) </w:t>
      </w:r>
      <w:r>
        <w:rPr>
          <w:rFonts w:ascii="Times New Roman" w:hAnsi="Times New Roman"/>
          <w:b/>
          <w:i w:val="false"/>
          <w:color w:val="000000"/>
          <w:sz w:val="22"/>
        </w:rPr>
        <w:t xml:space="preserve">Application for identity theft passports.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35.2(1)</w:t>
      </w:r>
      <w:r>
        <w:rPr>
          <w:rFonts w:ascii="Times New Roman" w:hAnsi="Times New Roman"/>
          <w:b w:val="false"/>
          <w:i w:val="false"/>
          <w:color w:val="000000"/>
          <w:sz w:val="22"/>
        </w:rPr>
        <w:t> </w:t>
      </w:r>
      <w:r>
        <w:rPr>
          <w:rFonts w:ascii="Times New Roman" w:hAnsi="Times New Roman"/>
          <w:b w:val="false"/>
          <w:i/>
          <w:color w:val="000000"/>
          <w:sz w:val="22"/>
        </w:rPr>
        <w:t xml:space="preserve">Completion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 who has filed a report of identity theft may apply for an identity theft passport through the law enforcement agency to which the report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application for an identity theft passport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Completion by the person, or by another on behalf of the person, and by the law enforcement agency, of the identity theft passport application form and the identity theft verification form set out in rule </w:t>
      </w:r>
      <w:hyperlink r:id="rId8">
        <w:r>
          <w:rPr>
            <w:rStyle w:val="Hyperlink"/>
            <w:rFonts w:ascii="Times New Roman" w:hAnsi="Times New Roman"/>
            <w:b w:val="false"/>
            <w:i w:val="false"/>
            <w:color w:val="000000"/>
            <w:sz w:val="22"/>
          </w:rPr>
          <w:t>61—35.8(715A)</w:t>
        </w:r>
      </w:hyperlink>
      <w:r>
        <w:rPr>
          <w:rFonts w:ascii="Times New Roman" w:hAnsi="Times New Roman"/>
          <w:b w:val="false"/>
          <w:i w:val="false"/>
          <w:color w:val="000000"/>
          <w:sz w:val="22"/>
        </w:rPr>
        <w:t>, along with any documentation supporting the claim that the person is a victim of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report of identity theft made to the law enforcement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Photographic identification of the victim in one of the following formats in order of preference: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victim’s current driver’s license or state-issued nonoperator’s identification card.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current photograph of the victim certified as valid by signature of the law enforcement investigator who received the report of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Upon completion of the application for an identity theft passport, the law enforcement agency which received the application shall forward it to the crime victim assistance division of the office of the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35.2(2)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application. </w:t>
      </w:r>
      <w:r>
        <w:rPr>
          <w:rFonts w:ascii="Times New Roman" w:hAnsi="Times New Roman"/>
          <w:b w:val="false"/>
          <w:i w:val="false"/>
          <w:color w:val="000000"/>
          <w:sz w:val="22"/>
        </w:rPr>
        <w:t xml:space="preserve">An application made with the attorney general shall be confidential and shall not be a public record subject to disclosure under Iowa Code chapter </w:t>
      </w:r>
      <w:hyperlink r:id="rId9">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61—35.3</w:t>
      </w:r>
      <w:r>
        <w:rPr>
          <w:rFonts w:ascii="Times New Roman" w:hAnsi="Times New Roman"/>
          <w:b/>
          <w:i w:val="false"/>
          <w:color w:val="000000"/>
          <w:sz w:val="22"/>
        </w:rPr>
        <w:t xml:space="preserve">(715A) </w:t>
      </w:r>
      <w:r>
        <w:rPr>
          <w:rFonts w:ascii="Times New Roman" w:hAnsi="Times New Roman"/>
          <w:b/>
          <w:i w:val="false"/>
          <w:color w:val="000000"/>
          <w:sz w:val="22"/>
        </w:rPr>
        <w:t xml:space="preserve">Issuance of identity theft passports.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35.3(1)</w:t>
      </w:r>
      <w:r>
        <w:rPr>
          <w:rFonts w:ascii="Times New Roman" w:hAnsi="Times New Roman"/>
          <w:b w:val="false"/>
          <w:i w:val="false"/>
          <w:color w:val="000000"/>
          <w:sz w:val="22"/>
        </w:rPr>
        <w:t> </w:t>
      </w:r>
      <w:r>
        <w:rPr>
          <w:rFonts w:ascii="Times New Roman" w:hAnsi="Times New Roman"/>
          <w:b w:val="false"/>
          <w:i w:val="false"/>
          <w:color w:val="000000"/>
          <w:sz w:val="22"/>
        </w:rPr>
        <w:t>Upon receipt of a completed application for an identity theft passport, the division shall review the application and determine whether to issue the applicant an identity theft passport. In determining whether to issue the identity theft passport, the division shall consider all the facts and circumstances reported in the application, any recommendations received from the law enforcement agency to which the report was made, and any other facts that the division deems necessary to make the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35.3(2)</w:t>
      </w:r>
      <w:r>
        <w:rPr>
          <w:rFonts w:ascii="Times New Roman" w:hAnsi="Times New Roman"/>
          <w:b w:val="false"/>
          <w:i w:val="false"/>
          <w:color w:val="000000"/>
          <w:sz w:val="22"/>
        </w:rPr>
        <w:t> </w:t>
      </w:r>
      <w:r>
        <w:rPr>
          <w:rFonts w:ascii="Times New Roman" w:hAnsi="Times New Roman"/>
          <w:b w:val="false"/>
          <w:i w:val="false"/>
          <w:color w:val="000000"/>
          <w:sz w:val="22"/>
        </w:rPr>
        <w:t>An identity theft passport shall be in the form of a card or certificate as determined by the attorney general.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61—35.4</w:t>
      </w:r>
      <w:r>
        <w:rPr>
          <w:rFonts w:ascii="Times New Roman" w:hAnsi="Times New Roman"/>
          <w:b/>
          <w:i w:val="false"/>
          <w:color w:val="000000"/>
          <w:sz w:val="22"/>
        </w:rPr>
        <w:t xml:space="preserve">(715A) </w:t>
      </w:r>
      <w:r>
        <w:rPr>
          <w:rFonts w:ascii="Times New Roman" w:hAnsi="Times New Roman"/>
          <w:b/>
          <w:i w:val="false"/>
          <w:color w:val="000000"/>
          <w:sz w:val="22"/>
        </w:rPr>
        <w:t xml:space="preserve">Usage of identity theft passports. </w:t>
      </w:r>
      <w:r>
        <w:rPr>
          <w:rFonts w:ascii="Times New Roman" w:hAnsi="Times New Roman"/>
          <w:b w:val="false"/>
          <w:i w:val="false"/>
          <w:color w:val="000000"/>
          <w:sz w:val="22"/>
        </w:rPr>
        <w:t>An identity theft victim may present the passport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35.4(1)</w:t>
      </w:r>
      <w:r>
        <w:rPr>
          <w:rFonts w:ascii="Times New Roman" w:hAnsi="Times New Roman"/>
          <w:b w:val="false"/>
          <w:i w:val="false"/>
          <w:color w:val="000000"/>
          <w:sz w:val="22"/>
        </w:rPr>
        <w:t> </w:t>
      </w:r>
      <w:r>
        <w:rPr>
          <w:rFonts w:ascii="Times New Roman" w:hAnsi="Times New Roman"/>
          <w:b w:val="false"/>
          <w:i w:val="false"/>
          <w:color w:val="000000"/>
          <w:sz w:val="22"/>
        </w:rPr>
        <w:t>A law enforcement agency to help prevent the victim’s arrest or detention for any offense committed by someone other than the victim who is using the victim’s identity, 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35.4(2)</w:t>
      </w:r>
      <w:r>
        <w:rPr>
          <w:rFonts w:ascii="Times New Roman" w:hAnsi="Times New Roman"/>
          <w:b w:val="false"/>
          <w:i w:val="false"/>
          <w:color w:val="000000"/>
          <w:sz w:val="22"/>
        </w:rPr>
        <w:t> </w:t>
      </w:r>
      <w:r>
        <w:rPr>
          <w:rFonts w:ascii="Times New Roman" w:hAnsi="Times New Roman"/>
          <w:b w:val="false"/>
          <w:i w:val="false"/>
          <w:color w:val="000000"/>
          <w:sz w:val="22"/>
        </w:rPr>
        <w:t>A creditor of the victim to aid in the creditor’s investigation and establishment of whether fraudulent charges were made against accounts in the victim’s name or whether accounts were opened using the victim’s identity.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61—35.5</w:t>
      </w:r>
      <w:r>
        <w:rPr>
          <w:rFonts w:ascii="Times New Roman" w:hAnsi="Times New Roman"/>
          <w:b/>
          <w:i w:val="false"/>
          <w:color w:val="000000"/>
          <w:sz w:val="22"/>
        </w:rPr>
        <w:t xml:space="preserve">(715A) </w:t>
      </w:r>
      <w:r>
        <w:rPr>
          <w:rFonts w:ascii="Times New Roman" w:hAnsi="Times New Roman"/>
          <w:b/>
          <w:i w:val="false"/>
          <w:color w:val="000000"/>
          <w:sz w:val="22"/>
        </w:rPr>
        <w:t xml:space="preserve">Acceptance of identity theft passports. </w:t>
      </w:r>
      <w:r>
        <w:rPr>
          <w:rFonts w:ascii="Times New Roman" w:hAnsi="Times New Roman"/>
          <w:b w:val="false"/>
          <w:i w:val="false"/>
          <w:color w:val="000000"/>
          <w:sz w:val="22"/>
        </w:rPr>
        <w:t>A law enforcement agency or creditor may accept an identity theft passport from the victim and may consider the surrounding circumstances and available information regarding the offense of identity theft pertaining to the victim.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61—35.6</w:t>
      </w:r>
      <w:r>
        <w:rPr>
          <w:rFonts w:ascii="Times New Roman" w:hAnsi="Times New Roman"/>
          <w:b/>
          <w:i w:val="false"/>
          <w:color w:val="000000"/>
          <w:sz w:val="22"/>
        </w:rPr>
        <w:t xml:space="preserve">(715A) </w:t>
      </w:r>
      <w:r>
        <w:rPr>
          <w:rFonts w:ascii="Times New Roman" w:hAnsi="Times New Roman"/>
          <w:b/>
          <w:i w:val="false"/>
          <w:color w:val="000000"/>
          <w:sz w:val="22"/>
        </w:rPr>
        <w:t xml:space="preserve">Expiration of identity theft passports. </w:t>
      </w:r>
      <w:r>
        <w:rPr>
          <w:rFonts w:ascii="Times New Roman" w:hAnsi="Times New Roman"/>
          <w:b w:val="false"/>
          <w:i w:val="false"/>
          <w:color w:val="000000"/>
          <w:sz w:val="22"/>
        </w:rPr>
        <w:t xml:space="preserve">An identity theft passport issued by the office of the attorney general shall be valid for a period of five years from the date of issuance or renewal. The victim to whom an expired identity theft passport was issued may reapply to the office of the attorney general for renewal of the identity theft passport within 30 days after its expiration. The office of the attorney general may renew the identity theft passport in the same manner that initial passports are issued, as outlined in rule </w:t>
      </w:r>
      <w:hyperlink r:id="rId10">
        <w:r>
          <w:rPr>
            <w:rStyle w:val="Hyperlink"/>
            <w:rFonts w:ascii="Times New Roman" w:hAnsi="Times New Roman"/>
            <w:b w:val="false"/>
            <w:i w:val="false"/>
            <w:color w:val="000000"/>
            <w:sz w:val="22"/>
          </w:rPr>
          <w:t>61—35.3(715A)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61—35.7</w:t>
      </w:r>
      <w:r>
        <w:rPr>
          <w:rFonts w:ascii="Times New Roman" w:hAnsi="Times New Roman"/>
          <w:b/>
          <w:i w:val="false"/>
          <w:color w:val="000000"/>
          <w:sz w:val="22"/>
        </w:rPr>
        <w:t xml:space="preserve">(715A) </w:t>
      </w:r>
      <w:r>
        <w:rPr>
          <w:rFonts w:ascii="Times New Roman" w:hAnsi="Times New Roman"/>
          <w:b/>
          <w:i w:val="false"/>
          <w:color w:val="000000"/>
          <w:sz w:val="22"/>
        </w:rPr>
        <w:t xml:space="preserve">Revocation of identity theft passports.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35.7(1)</w:t>
      </w:r>
      <w:r>
        <w:rPr>
          <w:rFonts w:ascii="Times New Roman" w:hAnsi="Times New Roman"/>
          <w:b w:val="false"/>
          <w:i w:val="false"/>
          <w:color w:val="000000"/>
          <w:sz w:val="22"/>
        </w:rPr>
        <w:t> </w:t>
      </w:r>
      <w:r>
        <w:rPr>
          <w:rFonts w:ascii="Times New Roman" w:hAnsi="Times New Roman"/>
          <w:b w:val="false"/>
          <w:i w:val="false"/>
          <w:color w:val="000000"/>
          <w:sz w:val="22"/>
        </w:rPr>
        <w:t>If the division determines that an identity theft passport which has been issued should not have been issued, the division shall notify the person to whom the identity theft passport was issued of the intended revocation of the identity theft passport and the reasons for the intended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35.7(2)</w:t>
      </w:r>
      <w:r>
        <w:rPr>
          <w:rFonts w:ascii="Times New Roman" w:hAnsi="Times New Roman"/>
          <w:b w:val="false"/>
          <w:i w:val="false"/>
          <w:color w:val="000000"/>
          <w:sz w:val="22"/>
        </w:rPr>
        <w:t> </w:t>
      </w:r>
      <w:r>
        <w:rPr>
          <w:rFonts w:ascii="Times New Roman" w:hAnsi="Times New Roman"/>
          <w:b w:val="false"/>
          <w:i w:val="false"/>
          <w:color w:val="000000"/>
          <w:sz w:val="22"/>
        </w:rPr>
        <w:t>The person who has received a notice of intended revocation of an identity theft passport may request reconsideration of the intended revocation. The request and all information in support of a reconsideration of the intended revocation shall be submitted to the division director within 30 calendar days of the mailing date on the notice of intended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35.7(3)</w:t>
      </w:r>
      <w:r>
        <w:rPr>
          <w:rFonts w:ascii="Times New Roman" w:hAnsi="Times New Roman"/>
          <w:b w:val="false"/>
          <w:i w:val="false"/>
          <w:color w:val="000000"/>
          <w:sz w:val="22"/>
        </w:rPr>
        <w:t> </w:t>
      </w:r>
      <w:r>
        <w:rPr>
          <w:rFonts w:ascii="Times New Roman" w:hAnsi="Times New Roman"/>
          <w:b w:val="false"/>
          <w:i w:val="false"/>
          <w:color w:val="000000"/>
          <w:sz w:val="22"/>
        </w:rPr>
        <w:t>The division director will issue a decision regarding the reconsideration of the intended revocation of the identity theft passport within 30 days of receipt of the request for reconsideration whenever possible. The decision of the division director regarding the revocation of the identity theft passport constitutes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35.7(4)</w:t>
      </w:r>
      <w:r>
        <w:rPr>
          <w:rFonts w:ascii="Times New Roman" w:hAnsi="Times New Roman"/>
          <w:b w:val="false"/>
          <w:i w:val="false"/>
          <w:color w:val="000000"/>
          <w:sz w:val="22"/>
        </w:rPr>
        <w:t> </w:t>
      </w:r>
      <w:r>
        <w:rPr>
          <w:rFonts w:ascii="Times New Roman" w:hAnsi="Times New Roman"/>
          <w:b w:val="false"/>
          <w:i w:val="false"/>
          <w:color w:val="000000"/>
          <w:sz w:val="22"/>
        </w:rPr>
        <w:t>If, after notice, the division determines that the identity theft passport is revoked, the division shall notify the person of the revocation in a mailing to the person’s last-known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35.7(5)</w:t>
      </w:r>
      <w:r>
        <w:rPr>
          <w:rFonts w:ascii="Times New Roman" w:hAnsi="Times New Roman"/>
          <w:b w:val="false"/>
          <w:i w:val="false"/>
          <w:color w:val="000000"/>
          <w:sz w:val="22"/>
        </w:rPr>
        <w:t> </w:t>
      </w:r>
      <w:r>
        <w:rPr>
          <w:rFonts w:ascii="Times New Roman" w:hAnsi="Times New Roman"/>
          <w:b w:val="false"/>
          <w:i w:val="false"/>
          <w:color w:val="000000"/>
          <w:sz w:val="22"/>
        </w:rPr>
        <w:t>A person shall not use a revoked identity theft passport for any purpose.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61—35.8</w:t>
      </w:r>
      <w:r>
        <w:rPr>
          <w:rFonts w:ascii="Times New Roman" w:hAnsi="Times New Roman"/>
          <w:b/>
          <w:i w:val="false"/>
          <w:color w:val="000000"/>
          <w:sz w:val="22"/>
        </w:rPr>
        <w:t xml:space="preserve">(715A) </w:t>
      </w:r>
      <w:r>
        <w:rPr>
          <w:rFonts w:ascii="Times New Roman" w:hAnsi="Times New Roman"/>
          <w:b/>
          <w:i w:val="false"/>
          <w:color w:val="000000"/>
          <w:sz w:val="22"/>
        </w:rPr>
        <w:t xml:space="preserve">Identity theft passport application and verification forms.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35.8(1)</w:t>
      </w:r>
      <w:r>
        <w:rPr>
          <w:rFonts w:ascii="Times New Roman" w:hAnsi="Times New Roman"/>
          <w:b w:val="false"/>
          <w:i w:val="false"/>
          <w:color w:val="000000"/>
          <w:sz w:val="22"/>
        </w:rPr>
        <w:t> </w:t>
      </w:r>
      <w:r>
        <w:rPr>
          <w:rFonts w:ascii="Times New Roman" w:hAnsi="Times New Roman"/>
          <w:b w:val="false"/>
          <w:i/>
          <w:color w:val="000000"/>
          <w:sz w:val="22"/>
        </w:rPr>
        <w:t xml:space="preserve">Identity theft victim application and affidavit. </w:t>
      </w:r>
      <w:r>
        <w:rPr>
          <w:rFonts w:ascii="Times New Roman" w:hAnsi="Times New Roman"/>
          <w:b w:val="false"/>
          <w:i w:val="false"/>
          <w:color w:val="000000"/>
          <w:sz w:val="22"/>
        </w:rPr>
        <w:t>The following form may be used to apply for an identity theft passport.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Attorney General's Office</w:t>
      </w:r>
    </w:p>
    <w:p>
      <w:pPr>
        <w:spacing w:before="0" w:after="0"/>
        <w:ind w:left="120"/>
        <w:jc w:val="center"/>
      </w:pPr>
      <w:r>
        <w:rPr>
          <w:rFonts w:ascii="Times New Roman" w:hAnsi="Times New Roman"/>
          <w:b/>
          <w:i w:val="false"/>
          <w:color w:val="000000"/>
          <w:sz w:val="22"/>
        </w:rPr>
        <w:t>Identity Theft Victim Application and Affidavit</w:t>
      </w:r>
    </w:p>
    <w:p>
      <w:pPr>
        <w:spacing w:before="0" w:after="0"/>
        <w:ind w:left="120"/>
        <w:jc w:val="both"/>
      </w:pPr>
      <w:r>
        <w:rPr>
          <w:rFonts w:ascii="Times New Roman" w:hAnsi="Times New Roman"/>
          <w:b/>
          <w:i w:val="false"/>
          <w:color w:val="000000"/>
          <w:sz w:val="22"/>
        </w:rPr>
        <w:t xml:space="preserve">Iowa Code section </w:t>
      </w:r>
      <w:hyperlink r:id="rId11">
        <w:r>
          <w:rPr>
            <w:rStyle w:val="Hyperlink"/>
            <w:rFonts w:ascii="Times New Roman" w:hAnsi="Times New Roman"/>
            <w:b/>
            <w:i w:val="false"/>
            <w:color w:val="000000"/>
            <w:sz w:val="22"/>
          </w:rPr>
          <w:t>715A.9A(2)</w:t>
        </w:r>
      </w:hyperlink>
      <w:r>
        <w:rPr>
          <w:rFonts w:ascii="Times New Roman" w:hAnsi="Times New Roman"/>
          <w:b/>
          <w:i w:val="false"/>
          <w:color w:val="000000"/>
          <w:sz w:val="22"/>
        </w:rPr>
        <w:t xml:space="preserve">: </w:t>
      </w:r>
      <w:r>
        <w:rPr>
          <w:rFonts w:ascii="Times New Roman" w:hAnsi="Times New Roman"/>
          <w:b w:val="false"/>
          <w:i w:val="false"/>
          <w:color w:val="000000"/>
          <w:sz w:val="22"/>
        </w:rPr>
        <w:t>A victim who has filed a report of identity theft with a law enforcement agency may apply for an identity theft passport through the law enforcement agency. The law enforcement agency shall send a copy of the police report and the application to the attorney general, who shall process the application and supporting report and may issue the victim an identity theft passport in the form of a card or certificate.</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32"/>
        <w:gridCol w:w="4032"/>
        <w:gridCol w:w="3456"/>
      </w:tblGrid>
      <w:tr>
        <w:trPr>
          <w:trHeight w:val="22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Section I: Victim Information</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 Full given name: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 Common use name: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 Aliases: </w:t>
            </w:r>
          </w:p>
        </w:tc>
      </w:tr>
      <w:tr>
        <w:trPr>
          <w:trHeight w:val="210" w:hRule="atLeast"/>
        </w:trPr>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 Birth date: </w:t>
            </w:r>
          </w:p>
        </w:tc>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 Social Security Number: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 Driver's License Number: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g. Street address: </w:t>
            </w:r>
          </w:p>
        </w:tc>
      </w:tr>
      <w:tr>
        <w:trPr>
          <w:trHeight w:val="210" w:hRule="atLeast"/>
        </w:trPr>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h. City: </w:t>
            </w:r>
          </w:p>
        </w:tc>
        <w:tc>
          <w:tcPr>
            <w:tcW w:w="40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State: </w:t>
            </w:r>
          </w:p>
        </w:tc>
        <w:tc>
          <w:tcPr>
            <w:tcW w:w="3456" w:type="dxa"/>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Zip Code: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 Your home telephone number: </w:t>
            </w:r>
          </w:p>
        </w:tc>
      </w:tr>
      <w:tr>
        <w:trPr>
          <w:trHeight w:val="22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5760"/>
      </w:tblGrid>
      <w:tr>
        <w:trPr>
          <w:trHeight w:val="22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Section II: Crime Information</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 Date(s) of identity theft: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 Item(s) stolen: </w:t>
            </w:r>
          </w:p>
        </w:tc>
      </w:tr>
      <w:tr>
        <w:trPr>
          <w:trHeight w:val="210" w:hRule="atLeast"/>
        </w:trPr>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 Location of crime: </w:t>
            </w:r>
          </w:p>
        </w:tc>
        <w:tc>
          <w:tcPr>
            <w:tcW w:w="576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d. Date(s) reported: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 Law Enforcement Agency: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 Name of suspect, if known: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g. Relationship of suspect to victim: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h. Other information (use additional page(s) if necessary): </w:t>
            </w:r>
          </w:p>
        </w:tc>
      </w:tr>
      <w:tr>
        <w:trPr>
          <w:trHeight w:val="31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190"/>
      </w:tblGrid>
      <w:tr>
        <w:trPr>
          <w:trHeight w:val="225"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Section III: Other Information to Be Supplied Before a Passport May Be Issued</w:t>
            </w:r>
          </w:p>
        </w:tc>
      </w:tr>
      <w:tr>
        <w:trPr>
          <w:trHeight w:val="21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A copy of the victim's current driver's license or state-issued nonoperator's identification card; or, if neither is available,</w:t>
            </w:r>
          </w:p>
        </w:tc>
      </w:tr>
      <w:tr>
        <w:trPr>
          <w:trHeight w:val="390" w:hRule="atLeast"/>
        </w:trPr>
        <w:tc>
          <w:tcPr>
            <w:tcW w:w="1119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 A current photograph of the victim certified as valid by signature of the law enforcement investigator who received the report of identity theft.</w:t>
            </w:r>
          </w:p>
        </w:tc>
      </w:tr>
    </w:tbl>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By signing this affidavit, I attest that the information provided above is true and accurate. I acknowledge that I did file an accurate and true law enforcement report of this incident(s). </w:t>
      </w:r>
    </w:p>
    <w:tbl>
      <w:tblPr>
        <w:tblW w:w="5000" w:type="pct"/>
        <w:tblCellSpacing w:w="0" w:type="auto"/>
        <w:tblBorders>
          <w:top w:val="none"/>
          <w:left w:val="none"/>
          <w:bottom w:val="none"/>
          <w:right w:val="none"/>
          <w:insideH w:val="none"/>
          <w:insideV w:val="none"/>
        </w:tblBorders>
        <w:tblLayout w:type="fixed"/>
      </w:tblPr>
      <w:tblGrid>
        <w:gridCol w:w="8103"/>
        <w:gridCol w:w="384"/>
        <w:gridCol w:w="3033"/>
      </w:tblGrid>
      <w:tr>
        <w:trPr>
          <w:trHeight w:val="210" w:hRule="atLeast"/>
        </w:trPr>
        <w:tc>
          <w:tcPr>
            <w:tcW w:w="81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103" w:type="dxa"/>
            <w:tcBorders/>
            <w:tcMar>
              <w:top w:w="30" w:type="dxa"/>
              <w:left w:w="30" w:type="dxa"/>
              <w:bottom w:w="15" w:type="dxa"/>
              <w:right w:w="30" w:type="dxa"/>
            </w:tcMar>
            <w:vAlign w:val="top"/>
          </w:tcPr>
          <w:p>
            <w:pPr>
              <w:spacing w:before="0" w:after="0"/>
              <w:ind w:left="0"/>
              <w:jc w:val="left"/>
            </w:pP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p>
        </w:tc>
      </w:tr>
      <w:tr>
        <w:trPr>
          <w:trHeight w:val="210" w:hRule="atLeast"/>
        </w:trPr>
        <w:tc>
          <w:tcPr>
            <w:tcW w:w="81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Signature</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35.8(2)</w:t>
      </w:r>
      <w:r>
        <w:rPr>
          <w:rFonts w:ascii="Times New Roman" w:hAnsi="Times New Roman"/>
          <w:b w:val="false"/>
          <w:i w:val="false"/>
          <w:color w:val="000000"/>
          <w:sz w:val="22"/>
        </w:rPr>
        <w:t> </w:t>
      </w:r>
      <w:r>
        <w:rPr>
          <w:rFonts w:ascii="Times New Roman" w:hAnsi="Times New Roman"/>
          <w:b w:val="false"/>
          <w:i/>
          <w:color w:val="000000"/>
          <w:sz w:val="22"/>
        </w:rPr>
        <w:t xml:space="preserve">Identity theft law enforcement report verification. </w:t>
      </w:r>
      <w:r>
        <w:rPr>
          <w:rFonts w:ascii="Times New Roman" w:hAnsi="Times New Roman"/>
          <w:b w:val="false"/>
          <w:i w:val="false"/>
          <w:color w:val="000000"/>
          <w:sz w:val="22"/>
        </w:rPr>
        <w:t>The following form must be completed by the investigating officer and submitted in conjunction with the identity theft application and affidavit.</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Iowa Attorney General's Office</w:t>
      </w:r>
    </w:p>
    <w:p>
      <w:pPr>
        <w:spacing w:before="0" w:after="0"/>
        <w:ind w:left="120"/>
        <w:jc w:val="center"/>
      </w:pPr>
      <w:r>
        <w:rPr>
          <w:rFonts w:ascii="Times New Roman" w:hAnsi="Times New Roman"/>
          <w:b/>
          <w:i w:val="false"/>
          <w:color w:val="000000"/>
          <w:sz w:val="22"/>
        </w:rPr>
        <w:t>Identity Theft Law Enforcement Report Verification</w:t>
      </w:r>
    </w:p>
    <w:p>
      <w:pPr>
        <w:spacing w:before="0" w:after="0"/>
        <w:ind w:left="120"/>
        <w:jc w:val="both"/>
      </w:pPr>
      <w:r>
        <w:rPr>
          <w:rFonts w:ascii="Times New Roman" w:hAnsi="Times New Roman"/>
          <w:b/>
          <w:i w:val="false"/>
          <w:color w:val="000000"/>
          <w:sz w:val="22"/>
        </w:rPr>
        <w:t xml:space="preserve">Iowa Code section </w:t>
      </w:r>
      <w:hyperlink r:id="rId12">
        <w:r>
          <w:rPr>
            <w:rStyle w:val="Hyperlink"/>
            <w:rFonts w:ascii="Times New Roman" w:hAnsi="Times New Roman"/>
            <w:b/>
            <w:i w:val="false"/>
            <w:color w:val="000000"/>
            <w:sz w:val="22"/>
          </w:rPr>
          <w:t>715A.9A(5)</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An application made with the attorney general under subsection 2, including any supporting documentation, shall be confidential and shall not be a public record subject to disclosure under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1290"/>
        <w:gridCol w:w="115"/>
        <w:gridCol w:w="115"/>
      </w:tblGrid>
      <w:tr>
        <w:trPr>
          <w:trHeight w:val="22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Section I: Law Enforcement Agency</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 Name of Law Enforcement Agency: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 Law Enforcement Agency telephone number: </w:t>
            </w:r>
          </w:p>
        </w:tc>
      </w:tr>
      <w:tr>
        <w:trPr>
          <w:trHeight w:val="210"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c. Name of Investigating Officer completing this report: </w:t>
            </w:r>
          </w:p>
        </w:tc>
      </w:tr>
      <w:tr>
        <w:trPr>
          <w:trHeight w:val="225" w:hRule="atLeast"/>
        </w:trPr>
        <w:tc>
          <w:tcPr>
            <w:tcW w:w="0" w:type="auto"/>
            <w:gridSpan w:val="3"/>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03"/>
        <w:gridCol w:w="5817"/>
      </w:tblGrid>
      <w:tr>
        <w:trPr>
          <w:trHeight w:val="22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i w:val="false"/>
                <w:color w:val="000000"/>
                <w:sz w:val="16"/>
              </w:rPr>
              <w:t>Section II: Information Requested from Law Enforcement Agency</w:t>
            </w:r>
          </w:p>
        </w:tc>
      </w:tr>
      <w:tr>
        <w:trPr>
          <w:trHeight w:val="39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 Did the victim named in the attached Identity Theft Application and Affidavit report to your law enforcement agency the crime of identity theft? □Yes □No</w:t>
            </w:r>
          </w:p>
        </w:tc>
      </w:tr>
      <w:tr>
        <w:trPr>
          <w:trHeight w:val="210" w:hRule="atLeast"/>
        </w:trPr>
        <w:tc>
          <w:tcPr>
            <w:tcW w:w="57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 Date of report: </w:t>
            </w:r>
          </w:p>
        </w:tc>
        <w:tc>
          <w:tcPr>
            <w:tcW w:w="581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c. LE case number: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 Has a suspect been identified? □Yes □No</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 If yes, name of suspect: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 Have charges been filed? </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 Is issuance of an Identity Theft Passport warranted in this case? □Yes □No</w:t>
            </w:r>
          </w:p>
        </w:tc>
      </w:tr>
      <w:tr>
        <w:trPr>
          <w:trHeight w:val="210"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h. Other information (use additional paper if necessary): </w:t>
            </w:r>
          </w:p>
        </w:tc>
      </w:tr>
      <w:tr>
        <w:trPr>
          <w:trHeight w:val="225" w:hRule="atLeast"/>
        </w:trPr>
        <w:tc>
          <w:tcPr>
            <w:tcW w:w="0" w:type="auto"/>
            <w:gridSpan w:val="2"/>
            <w:tcBorders>
              <w:right w:val="single" w:color="000000" w:sz="8"/>
            </w:tcBorders>
            <w:tcMar>
              <w:top w:w="30" w:type="dxa"/>
              <w:left w:w="30" w:type="dxa"/>
              <w:bottom w:w="15" w:type="dxa"/>
              <w:right w:w="30" w:type="dxa"/>
            </w:tcMar>
            <w:vAlign w:val="top"/>
          </w:tcPr>
          <w:p>
            <w:pPr>
              <w:spacing w:before="0" w:after="0"/>
              <w:ind w:left="0"/>
              <w:jc w:val="left"/>
            </w:pPr>
          </w:p>
        </w:tc>
      </w:tr>
    </w:tbl>
    <w:tbl>
      <w:tblPr>
        <w:tblW w:w="5000" w:type="pct"/>
        <w:tblCellSpacing w:w="0" w:type="auto"/>
        <w:tblBorders>
          <w:top w:val="none"/>
          <w:left w:val="none"/>
          <w:bottom w:val="none"/>
          <w:right w:val="none"/>
          <w:insideH w:val="none"/>
          <w:insideV w:val="none"/>
        </w:tblBorders>
        <w:tblLayout w:type="fixed"/>
      </w:tblPr>
      <w:tblGrid>
        <w:gridCol w:w="8103"/>
        <w:gridCol w:w="384"/>
        <w:gridCol w:w="3033"/>
      </w:tblGrid>
      <w:tr>
        <w:trPr>
          <w:trHeight w:val="210" w:hRule="atLeast"/>
        </w:trPr>
        <w:tc>
          <w:tcPr>
            <w:tcW w:w="81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8103" w:type="dxa"/>
            <w:tcBorders/>
            <w:tcMar>
              <w:top w:w="30" w:type="dxa"/>
              <w:left w:w="30" w:type="dxa"/>
              <w:bottom w:w="15" w:type="dxa"/>
              <w:right w:w="30" w:type="dxa"/>
            </w:tcMar>
            <w:vAlign w:val="top"/>
          </w:tcPr>
          <w:p>
            <w:pPr>
              <w:spacing w:before="0" w:after="0"/>
              <w:ind w:left="0"/>
              <w:jc w:val="left"/>
            </w:pP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p>
        </w:tc>
      </w:tr>
      <w:tr>
        <w:trPr>
          <w:trHeight w:val="210" w:hRule="atLeast"/>
        </w:trPr>
        <w:tc>
          <w:tcPr>
            <w:tcW w:w="810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Signature of Investigating Officer</w:t>
            </w:r>
          </w:p>
        </w:tc>
        <w:tc>
          <w:tcPr>
            <w:tcW w:w="38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03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Date</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35.8(3)</w:t>
      </w:r>
      <w:r>
        <w:rPr>
          <w:rFonts w:ascii="Times New Roman" w:hAnsi="Times New Roman"/>
          <w:b w:val="false"/>
          <w:i w:val="false"/>
          <w:color w:val="000000"/>
          <w:sz w:val="22"/>
        </w:rPr>
        <w:t> </w:t>
      </w:r>
      <w:r>
        <w:rPr>
          <w:rFonts w:ascii="Times New Roman" w:hAnsi="Times New Roman"/>
          <w:b w:val="false"/>
          <w:i/>
          <w:color w:val="000000"/>
          <w:sz w:val="22"/>
        </w:rPr>
        <w:t xml:space="preserve">Submission of documentation. </w:t>
      </w:r>
      <w:r>
        <w:rPr>
          <w:rFonts w:ascii="Times New Roman" w:hAnsi="Times New Roman"/>
          <w:b w:val="false"/>
          <w:i w:val="false"/>
          <w:color w:val="000000"/>
          <w:sz w:val="22"/>
        </w:rPr>
        <w:t>In order to be considered for an identity theft passport, a victim must submit the following documentation to the Crime Victim Assistance Division, Ground Floor, Lucas State Office Building, Des Moines, Iowa 50319: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Identity Theft Victim Application and Affidavit form, signed by the victim.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Identity Theft Law Enforcement Report Verification form, signed by the investigating officer.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law enforcement agency's investigative report.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7940B</w:t>
      </w:r>
      <w:r>
        <w:rPr>
          <w:rFonts w:ascii="Times New Roman" w:hAnsi="Times New Roman"/>
          <w:b w:val="false"/>
          <w:i w:val="false"/>
          <w:color w:val="000000"/>
          <w:sz w:val="16"/>
        </w:rPr>
        <w:t>, IAB 7/15/09, effective 8/19/09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4">
        <w:r>
          <w:rPr>
            <w:rStyle w:val="Hyperlink"/>
            <w:rFonts w:ascii="Times New Roman" w:hAnsi="Times New Roman"/>
            <w:b w:val="false"/>
            <w:i w:val="false"/>
            <w:color w:val="000000"/>
            <w:sz w:val="22"/>
          </w:rPr>
          <w:t>715A.9A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7940B</w:t>
      </w:r>
      <w:r>
        <w:rPr>
          <w:rFonts w:ascii="Times New Roman" w:hAnsi="Times New Roman"/>
          <w:b w:val="false"/>
          <w:i w:val="false"/>
          <w:color w:val="000000"/>
          <w:sz w:val="21"/>
        </w:rPr>
        <w:t xml:space="preserve"> (Notice ARC 7528B, IAB 1/28/09)</w:t>
      </w:r>
      <w:r>
        <w:rPr>
          <w:rFonts w:ascii="Times New Roman" w:hAnsi="Times New Roman"/>
          <w:b w:val="false"/>
          <w:i w:val="false"/>
          <w:color w:val="000000"/>
          <w:sz w:val="21"/>
        </w:rPr>
        <w:t>, IAB 7/15/09, effective 8/19/09]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15A.8.pdf" Type="http://schemas.openxmlformats.org/officeDocument/2006/relationships/hyperlink" Id="rId5"/>
    <Relationship TargetMode="External" Target="https://www.legis.iowa.gov/docs/ico/chapter/801.4.pdf" Type="http://schemas.openxmlformats.org/officeDocument/2006/relationships/hyperlink" Id="rId6"/>
    <Relationship TargetMode="External" Target="https://www.legis.iowa.gov/docs/ico/chapter/715A.8.pdf" Type="http://schemas.openxmlformats.org/officeDocument/2006/relationships/hyperlink" Id="rId7"/>
    <Relationship TargetMode="External" Target="https://www.legis.iowa.gov/docs/iac/rule/61.35.8.pdf" Type="http://schemas.openxmlformats.org/officeDocument/2006/relationships/hyperlink" Id="rId8"/>
    <Relationship TargetMode="External" Target="https://www.legis.iowa.gov/docs/ico/chapter/22.pdf" Type="http://schemas.openxmlformats.org/officeDocument/2006/relationships/hyperlink" Id="rId9"/>
    <Relationship TargetMode="External" Target="https://www.legis.iowa.gov/docs/iac/rule/61.35.3.pdf" Type="http://schemas.openxmlformats.org/officeDocument/2006/relationships/hyperlink" Id="rId10"/>
    <Relationship TargetMode="External" Target="https://www.legis.iowa.gov/docs/ico/chapter/715A.9A.pdf" Type="http://schemas.openxmlformats.org/officeDocument/2006/relationships/hyperlink" Id="rId11"/>
    <Relationship TargetMode="External" Target="https://www.legis.iowa.gov/docs/ico/chapter/715A.9A.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715A.9A.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