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FORFEITED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61—33.1</w:t>
      </w:r>
      <w:r>
        <w:rPr>
          <w:rFonts w:ascii="Times New Roman" w:hAnsi="Times New Roman"/>
          <w:b/>
          <w:i w:val="false"/>
          <w:color w:val="000000"/>
          <w:sz w:val="22"/>
        </w:rPr>
        <w:t xml:space="preserve">(809A)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These rules apply to property forfeited under the authority of Iowa Code section </w:t>
      </w:r>
      <w:hyperlink r:id="rId5">
        <w:r>
          <w:rPr>
            <w:rStyle w:val="Hyperlink"/>
            <w:rFonts w:ascii="Times New Roman" w:hAnsi="Times New Roman"/>
            <w:b w:val="false"/>
            <w:i w:val="false"/>
            <w:color w:val="000000"/>
            <w:sz w:val="22"/>
          </w:rPr>
          <w:t>809A.25</w:t>
        </w:r>
      </w:hyperlink>
      <w:r>
        <w:rPr>
          <w:rFonts w:ascii="Times New Roman" w:hAnsi="Times New Roman"/>
          <w:b w:val="false"/>
          <w:i w:val="false"/>
          <w:color w:val="000000"/>
          <w:sz w:val="22"/>
        </w:rPr>
        <w:t xml:space="preserve">. They do not apply to property seized for forfeiture by the department of natural resources under Iowa Code section </w:t>
      </w:r>
      <w:hyperlink r:id="rId6">
        <w:r>
          <w:rPr>
            <w:rStyle w:val="Hyperlink"/>
            <w:rFonts w:ascii="Times New Roman" w:hAnsi="Times New Roman"/>
            <w:b w:val="false"/>
            <w:i w:val="false"/>
            <w:color w:val="000000"/>
            <w:sz w:val="22"/>
          </w:rPr>
          <w:t>483A.33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61—33.2</w:t>
      </w:r>
      <w:r>
        <w:rPr>
          <w:rFonts w:ascii="Times New Roman" w:hAnsi="Times New Roman"/>
          <w:b/>
          <w:i w:val="false"/>
          <w:color w:val="000000"/>
          <w:sz w:val="22"/>
        </w:rPr>
        <w:t xml:space="preserve">(809A) </w:t>
      </w:r>
      <w:r>
        <w:rPr>
          <w:rFonts w:ascii="Times New Roman" w:hAnsi="Times New Roman"/>
          <w:b/>
          <w:i w:val="false"/>
          <w:color w:val="000000"/>
          <w:sz w:val="22"/>
        </w:rPr>
        <w:t xml:space="preserve">Maintenance and storage of property during pendency of proceedings. </w:t>
      </w:r>
      <w:r>
        <w:rPr>
          <w:rFonts w:ascii="Times New Roman" w:hAnsi="Times New Roman"/>
          <w:b w:val="false"/>
          <w:i w:val="false"/>
          <w:color w:val="000000"/>
          <w:sz w:val="22"/>
        </w:rPr>
        <w:t>The seizing agency that initiates a seizure for forfeiture must arrange for and pay costs associated with the proper care of property seized for forfeiture within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Motor vehicles must be stored in a manner which will minimize deterioration due to lack of operation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commercial towing and storage facilities is at the expense of the seizing agency. The department will not assume responsibility for such fees, whether before or after forfeiture, unless the department decides to retain ownership of the vehicle for its use instead of transferring title to the seizing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Where possible, a seizing agency should, in cooperation with the prosecuting attorney, secure a court order authorizing cash to be deposited in an interest-bearing account. The department will not claim any interest in income derived from such account, but the interest must be accounted for as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color w:val="000000"/>
          <w:sz w:val="22"/>
        </w:rPr>
        <w:t xml:space="preserve">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Unoccupied structures of value must be equipped with alarm systems or otherwise safeguarded to protect them from unlawful entry and damage by fire. The seizing agency should consider the value of the property, the condition of existing gates and locks, and the potential threat to public safety when determining whether alarm systems or other safeguards are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property that complies with local and state building and housing code standards at the time of seizure must be maintained to local and state building and housing code standards as well as to the standard of neighboring properties, including mowing and removal of snow as necessary. Seized property that does not comply with code standards at the time of seizure must not be allowed to degrade and should be maintained in a condition that does not present a threat to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color w:val="000000"/>
          <w:sz w:val="22"/>
        </w:rPr>
        <w:t xml:space="preserve">Other property. </w:t>
      </w:r>
      <w:r>
        <w:rPr>
          <w:rFonts w:ascii="Times New Roman" w:hAnsi="Times New Roman"/>
          <w:b w:val="false"/>
          <w:i w:val="false"/>
          <w:color w:val="000000"/>
          <w:sz w:val="22"/>
        </w:rPr>
        <w:t>Property other than listed above shall be cared for as appropriate, giving due consideration to the nature of the property.</w:t>
      </w:r>
    </w:p>
    <w:p>
      <w:pPr>
        <w:spacing w:before="0" w:after="0"/>
        <w:ind w:left="120"/>
        <w:jc w:val="both"/>
      </w:pPr>
      <w:r>
        <w:rPr>
          <w:rFonts w:ascii="Times New Roman" w:hAnsi="Times New Roman"/>
          <w:b/>
          <w:i w:val="false"/>
          <w:color w:val="000000"/>
          <w:sz w:val="22"/>
        </w:rPr>
        <w:t>61—33.3</w:t>
      </w:r>
      <w:r>
        <w:rPr>
          <w:rFonts w:ascii="Times New Roman" w:hAnsi="Times New Roman"/>
          <w:b/>
          <w:i w:val="false"/>
          <w:color w:val="000000"/>
          <w:sz w:val="22"/>
        </w:rPr>
        <w:t xml:space="preserve">(809A) </w:t>
      </w:r>
      <w:r>
        <w:rPr>
          <w:rFonts w:ascii="Times New Roman" w:hAnsi="Times New Roman"/>
          <w:b/>
          <w:i w:val="false"/>
          <w:color w:val="000000"/>
          <w:sz w:val="22"/>
        </w:rPr>
        <w:t xml:space="preserve">Notice to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val="false"/>
          <w:color w:val="000000"/>
          <w:sz w:val="22"/>
        </w:rPr>
        <w:t>An agency which seizes real property for forfeiture must notify the department within ten days of the seizure. Notice shall include the identity of the party from whom the property was seized, the date and county of seizure, and a legal description of the property seized for forfeiture.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val="false"/>
          <w:color w:val="000000"/>
          <w:sz w:val="22"/>
        </w:rPr>
        <w:t>A prosecuting attorney who obtains a declaration of forfeiture or an order forfeiting property must provide the department with a copy of the declaration or the order forfeiting the property within ten working days of receiving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0751C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61—33.4</w:t>
      </w:r>
      <w:r>
        <w:rPr>
          <w:rFonts w:ascii="Times New Roman" w:hAnsi="Times New Roman"/>
          <w:b/>
          <w:i w:val="false"/>
          <w:color w:val="000000"/>
          <w:sz w:val="22"/>
        </w:rPr>
        <w:t xml:space="preserve">(809A) </w:t>
      </w:r>
      <w:r>
        <w:rPr>
          <w:rFonts w:ascii="Times New Roman" w:hAnsi="Times New Roman"/>
          <w:b/>
          <w:i w:val="false"/>
          <w:color w:val="000000"/>
          <w:sz w:val="22"/>
        </w:rPr>
        <w:t xml:space="preserve">Disposition of forfeited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w:t>
      </w:r>
      <w:r>
        <w:rPr>
          <w:rFonts w:ascii="Times New Roman" w:hAnsi="Times New Roman"/>
          <w:b w:val="false"/>
          <w:i w:val="false"/>
          <w:color w:val="000000"/>
          <w:sz w:val="22"/>
        </w:rPr>
        <w:t xml:space="preserve">An agency in possession of a controlled substance which has been forfeited shall dispose of it as required by Iowa Code section </w:t>
      </w:r>
      <w:hyperlink r:id="rId7">
        <w:r>
          <w:rPr>
            <w:rStyle w:val="Hyperlink"/>
            <w:rFonts w:ascii="Times New Roman" w:hAnsi="Times New Roman"/>
            <w:b w:val="false"/>
            <w:i w:val="false"/>
            <w:color w:val="000000"/>
            <w:sz w:val="22"/>
          </w:rPr>
          <w:t>124.506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color w:val="000000"/>
          <w:sz w:val="22"/>
        </w:rPr>
        <w:t xml:space="preserve">Obscene materials. </w:t>
      </w:r>
      <w:r>
        <w:rPr>
          <w:rFonts w:ascii="Times New Roman" w:hAnsi="Times New Roman"/>
          <w:b w:val="false"/>
          <w:i w:val="false"/>
          <w:color w:val="000000"/>
          <w:sz w:val="22"/>
        </w:rPr>
        <w:t xml:space="preserve">Materials which violate the provisions of Iowa Code chapter </w:t>
      </w:r>
      <w:hyperlink r:id="rId8">
        <w:r>
          <w:rPr>
            <w:rStyle w:val="Hyperlink"/>
            <w:rFonts w:ascii="Times New Roman" w:hAnsi="Times New Roman"/>
            <w:b w:val="false"/>
            <w:i w:val="false"/>
            <w:color w:val="000000"/>
            <w:sz w:val="22"/>
          </w:rPr>
          <w:t>728</w:t>
        </w:r>
      </w:hyperlink>
      <w:r>
        <w:rPr>
          <w:rFonts w:ascii="Times New Roman" w:hAnsi="Times New Roman"/>
          <w:b w:val="false"/>
          <w:i w:val="false"/>
          <w:color w:val="000000"/>
          <w:sz w:val="22"/>
        </w:rPr>
        <w:t xml:space="preserve"> shall be destroyed. An inventory and a record of the destruction of obscene materials shall be maintained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color w:val="000000"/>
          <w:sz w:val="22"/>
        </w:rPr>
        <w:t xml:space="preserve">Firearms and ammunition. </w:t>
      </w:r>
      <w:r>
        <w:rPr>
          <w:rFonts w:ascii="Times New Roman" w:hAnsi="Times New Roman"/>
          <w:b w:val="false"/>
          <w:i w:val="false"/>
          <w:color w:val="000000"/>
          <w:sz w:val="22"/>
        </w:rPr>
        <w:t>Forfeited firearms and ammunition must be disposed of pursuant to the rules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33.4(4)</w:t>
      </w:r>
      <w:r>
        <w:rPr>
          <w:rFonts w:ascii="Times New Roman" w:hAnsi="Times New Roman"/>
          <w:b w:val="false"/>
          <w:i w:val="false"/>
          <w:color w:val="000000"/>
          <w:sz w:val="22"/>
        </w:rPr>
        <w:t> </w:t>
      </w:r>
      <w:r>
        <w:rPr>
          <w:rFonts w:ascii="Times New Roman" w:hAnsi="Times New Roman"/>
          <w:b w:val="false"/>
          <w:i/>
          <w:color w:val="000000"/>
          <w:sz w:val="22"/>
        </w:rPr>
        <w:t xml:space="preserve">Real property. </w:t>
      </w:r>
      <w:r>
        <w:rPr>
          <w:rFonts w:ascii="Times New Roman" w:hAnsi="Times New Roman"/>
          <w:b w:val="false"/>
          <w:i w:val="false"/>
          <w:color w:val="000000"/>
          <w:sz w:val="22"/>
        </w:rPr>
        <w:t>An agency seizing real property for forfeiture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transfer of title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all costs associated with transfer of title, including abstracting costs, property taxes and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Indemnify the state for any expenses it might become liable for by being the owner of the property during the forfeiture and transfer process, including but not limited to environmental cleanup costs, abstracting costs, and any expenses the department incurs to comply with reasonable community standards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Indemnify the state for any expenditures incurred as a result of liability to a third party for any injury associated with the property which occurs during the period from seizure through transfer of ownership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retain 10 percent of the gross sale price of the real property. The balance of the proceeds, 90 percent, will be given to the seizing agency for its use or for division among law enforcement agencies and prosecutors pursuant to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33.4(5)</w:t>
      </w:r>
      <w:r>
        <w:rPr>
          <w:rFonts w:ascii="Times New Roman" w:hAnsi="Times New Roman"/>
          <w:b w:val="false"/>
          <w:i w:val="false"/>
          <w:color w:val="000000"/>
          <w:sz w:val="22"/>
        </w:rPr>
        <w:t> </w:t>
      </w:r>
      <w:r>
        <w:rPr>
          <w:rFonts w:ascii="Times New Roman" w:hAnsi="Times New Roman"/>
          <w:b w:val="false"/>
          <w:i/>
          <w:color w:val="000000"/>
          <w:sz w:val="22"/>
        </w:rPr>
        <w:t xml:space="preserve">Alcoholic beverages and beer. </w:t>
      </w:r>
      <w:r>
        <w:rPr>
          <w:rFonts w:ascii="Times New Roman" w:hAnsi="Times New Roman"/>
          <w:b w:val="false"/>
          <w:i w:val="false"/>
          <w:color w:val="000000"/>
          <w:sz w:val="22"/>
        </w:rPr>
        <w:t>Alcoholic beverages and beer shall be destroyed. An inventory and a record of the destruction of forfeited alcoholic beverages and beer shall be maintained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33.4(6)</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Orders forfeiting motor vehicles must include a physical description of the vehicle, as well as the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Motor vehicles must be titled to the department prior to being transferred to the seizing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requires payment of a fee of $200 for processing the transfer of title to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seizing agency shall, within ten days of receipt of the transferred title, send to the Iowa department of transportation an application for certificate of title or a junking certificate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33.4(7)</w:t>
      </w:r>
      <w:r>
        <w:rPr>
          <w:rFonts w:ascii="Times New Roman" w:hAnsi="Times New Roman"/>
          <w:b w:val="false"/>
          <w:i w:val="false"/>
          <w:color w:val="000000"/>
          <w:sz w:val="22"/>
        </w:rPr>
        <w:t> </w:t>
      </w:r>
      <w:r>
        <w:rPr>
          <w:rFonts w:ascii="Times New Roman" w:hAnsi="Times New Roman"/>
          <w:b w:val="false"/>
          <w:i/>
          <w:color w:val="000000"/>
          <w:sz w:val="22"/>
        </w:rPr>
        <w:t xml:space="preserve">Cash.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retain 10 percent of forfeited cash. The balance of forfeited cash, 90 percent, will be given to the seizing agency for its use or for division among law enforcement agencies and prosecutors pursuant to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cash forfeiture in excess of $400,000, amounts over $400,000 shall be apportioned as follows: 45 percent to the seizing agency or agencies; 45 percent to other law enforcement agencies within the region; and 10 percent to be retained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0751C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61—33.5</w:t>
      </w:r>
      <w:r>
        <w:rPr>
          <w:rFonts w:ascii="Times New Roman" w:hAnsi="Times New Roman"/>
          <w:b/>
          <w:i w:val="false"/>
          <w:color w:val="000000"/>
          <w:sz w:val="22"/>
        </w:rPr>
        <w:t xml:space="preserve">(809A) </w:t>
      </w:r>
      <w:r>
        <w:rPr>
          <w:rFonts w:ascii="Times New Roman" w:hAnsi="Times New Roman"/>
          <w:b/>
          <w:i w:val="false"/>
          <w:color w:val="000000"/>
          <w:sz w:val="22"/>
        </w:rPr>
        <w:t xml:space="preserve">Use by the department. </w:t>
      </w:r>
      <w:r>
        <w:rPr>
          <w:rFonts w:ascii="Times New Roman" w:hAnsi="Times New Roman"/>
          <w:b w:val="false"/>
          <w:i w:val="false"/>
          <w:color w:val="000000"/>
          <w:sz w:val="22"/>
        </w:rPr>
        <w:t>The department will review each item of forfeited property to determine if it is of a nature that would be useful to the department in enforcement of the law. If such a use exists, the department may take possession of the property and retain ownership instead of transferring it to the seizing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61—33.6</w:t>
      </w:r>
      <w:r>
        <w:rPr>
          <w:rFonts w:ascii="Times New Roman" w:hAnsi="Times New Roman"/>
          <w:b/>
          <w:i w:val="false"/>
          <w:color w:val="000000"/>
          <w:sz w:val="22"/>
        </w:rPr>
        <w:t xml:space="preserve">(809A) </w:t>
      </w:r>
      <w:r>
        <w:rPr>
          <w:rFonts w:ascii="Times New Roman" w:hAnsi="Times New Roman"/>
          <w:b/>
          <w:i w:val="false"/>
          <w:color w:val="000000"/>
          <w:sz w:val="22"/>
        </w:rPr>
        <w:t xml:space="preserve">Gifts to other law enforcement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it does not have use for an item of forfeited property, the seizing agency must accept ownership of the property and use or dispose of it under these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property is available for gift to agencies involved in the investigation or prosecution of a case but is presented with conflicting requests for its gift, the department may refuse to give the property to any of the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33.6(3)</w:t>
      </w:r>
      <w:r>
        <w:rPr>
          <w:rFonts w:ascii="Times New Roman" w:hAnsi="Times New Roman"/>
          <w:b w:val="false"/>
          <w:i w:val="false"/>
          <w:color w:val="000000"/>
          <w:sz w:val="22"/>
        </w:rPr>
        <w:t> </w:t>
      </w:r>
      <w:r>
        <w:rPr>
          <w:rFonts w:ascii="Times New Roman" w:hAnsi="Times New Roman"/>
          <w:b w:val="false"/>
          <w:i w:val="false"/>
          <w:color w:val="000000"/>
          <w:sz w:val="22"/>
        </w:rPr>
        <w:t>Forfeited property, including cash, must be used to enhance the enforcement of the criminal law and cannot be used to supplant or otherwise replace normally budgeted items. Questions regarding the propriety of the disposition of forfeited assets should be directed to the department.</w:t>
      </w:r>
    </w:p>
    <w:p>
      <w:pPr>
        <w:spacing w:before="0" w:after="0"/>
        <w:ind w:left="120"/>
        <w:jc w:val="both"/>
      </w:pPr>
      <w:r>
        <w:rPr>
          <w:rFonts w:ascii="Times New Roman" w:hAnsi="Times New Roman"/>
          <w:b/>
          <w:i w:val="false"/>
          <w:color w:val="000000"/>
          <w:sz w:val="22"/>
        </w:rPr>
        <w:t>61—33.7</w:t>
      </w:r>
      <w:r>
        <w:rPr>
          <w:rFonts w:ascii="Times New Roman" w:hAnsi="Times New Roman"/>
          <w:b/>
          <w:i w:val="false"/>
          <w:color w:val="000000"/>
          <w:sz w:val="22"/>
        </w:rPr>
        <w:t xml:space="preserve">(809A) </w:t>
      </w:r>
      <w:r>
        <w:rPr>
          <w:rFonts w:ascii="Times New Roman" w:hAnsi="Times New Roman"/>
          <w:b/>
          <w:i w:val="false"/>
          <w:color w:val="000000"/>
          <w:sz w:val="22"/>
        </w:rPr>
        <w:t xml:space="preserve">Record keeping. </w:t>
      </w:r>
      <w:r>
        <w:rPr>
          <w:rFonts w:ascii="Times New Roman" w:hAnsi="Times New Roman"/>
          <w:b w:val="false"/>
          <w:i w:val="false"/>
          <w:color w:val="000000"/>
          <w:sz w:val="22"/>
        </w:rPr>
        <w:t>An agency which seizes property for forfeiture shall maintain records showing the disposition, including destruction, of forfeited property for a period of three years from the date of forfeiture. The records shall comply with any recommendations of the state auditor but must, at a minimum,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forfeiture, a description of the property and the name(s), if available, of the person(s) who owned the property and person(s) in possession of the property at the time of seizure.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manner in which all forfeited property has been used by the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disposition of all forfeited property which has been sold or otherwise disposed of, and of the proceeds derived therefrom.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manner of use of all forfeited funds and proceeds from the sale of forfeited property.</w:t>
      </w:r>
    </w:p>
    <w:p>
      <w:pPr>
        <w:spacing w:before="210" w:after="0"/>
        <w:ind w:left="120"/>
        <w:jc w:val="both"/>
      </w:pPr>
      <w:r>
        <w:rPr>
          <w:rFonts w:ascii="Times New Roman" w:hAnsi="Times New Roman"/>
          <w:b/>
          <w:i w:val="false"/>
          <w:color w:val="000000"/>
          <w:sz w:val="22"/>
        </w:rPr>
        <w:t>61—33.8</w:t>
      </w:r>
      <w:r>
        <w:rPr>
          <w:rFonts w:ascii="Times New Roman" w:hAnsi="Times New Roman"/>
          <w:b/>
          <w:i w:val="false"/>
          <w:color w:val="000000"/>
          <w:sz w:val="22"/>
        </w:rPr>
        <w:t xml:space="preserve">(809A) </w:t>
      </w:r>
      <w:r>
        <w:rPr>
          <w:rFonts w:ascii="Times New Roman" w:hAnsi="Times New Roman"/>
          <w:b/>
          <w:i w:val="false"/>
          <w:color w:val="000000"/>
          <w:sz w:val="22"/>
        </w:rPr>
        <w:t xml:space="preserve">Failure to comply. </w:t>
      </w:r>
      <w:r>
        <w:rPr>
          <w:rFonts w:ascii="Times New Roman" w:hAnsi="Times New Roman"/>
          <w:b w:val="false"/>
          <w:i w:val="false"/>
          <w:color w:val="000000"/>
          <w:sz w:val="22"/>
        </w:rPr>
        <w:t>If the department determines that an agency is not in compliance with these rules, the department may suspend, temporarily or permanently, the agency’s privilege of receiving gifts of forfeited property.</w:t>
      </w:r>
    </w:p>
    <w:p>
      <w:pPr>
        <w:spacing w:before="0" w:after="0"/>
        <w:ind w:left="120"/>
        <w:jc w:val="both"/>
      </w:pPr>
      <w:r>
        <w:rPr>
          <w:rFonts w:ascii="Times New Roman" w:hAnsi="Times New Roman"/>
          <w:b/>
          <w:i w:val="false"/>
          <w:color w:val="000000"/>
          <w:sz w:val="22"/>
        </w:rPr>
        <w:t>61—33.9</w:t>
      </w:r>
      <w:r>
        <w:rPr>
          <w:rFonts w:ascii="Times New Roman" w:hAnsi="Times New Roman"/>
          <w:b/>
          <w:i w:val="false"/>
          <w:color w:val="000000"/>
          <w:sz w:val="22"/>
        </w:rPr>
        <w:t xml:space="preserve">(809A)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An agency may appeal a decision to suspend its privilege to receive gifts of forfeited property under rule </w:t>
      </w:r>
      <w:hyperlink r:id="rId9">
        <w:r>
          <w:rPr>
            <w:rStyle w:val="Hyperlink"/>
            <w:rFonts w:ascii="Times New Roman" w:hAnsi="Times New Roman"/>
            <w:b w:val="false"/>
            <w:i w:val="false"/>
            <w:color w:val="000000"/>
            <w:sz w:val="22"/>
          </w:rPr>
          <w:t>61—33.8(809A)</w:t>
        </w:r>
      </w:hyperlink>
      <w:r>
        <w:rPr>
          <w:rFonts w:ascii="Times New Roman" w:hAnsi="Times New Roman"/>
          <w:b w:val="false"/>
          <w:i w:val="false"/>
          <w:color w:val="000000"/>
          <w:sz w:val="22"/>
        </w:rPr>
        <w:t xml:space="preserve"> or other departmental action upon the basis that it has not been done according to these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color w:val="000000"/>
          <w:sz w:val="22"/>
        </w:rPr>
        <w:t xml:space="preserve">Appeal to deputy attorney general for criminal justice. </w:t>
      </w:r>
      <w:r>
        <w:rPr>
          <w:rFonts w:ascii="Times New Roman" w:hAnsi="Times New Roman"/>
          <w:b w:val="false"/>
          <w:i w:val="false"/>
          <w:color w:val="000000"/>
          <w:sz w:val="22"/>
        </w:rPr>
        <w:t>An applicant may file a notice of appeal to the deputy attorney general within 30 days of the departmental action that forms the basis of appeal. The deputy attorney general shall review the matter, taking testimony if necessary, and issue a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color w:val="000000"/>
          <w:sz w:val="22"/>
        </w:rPr>
        <w:t xml:space="preserve">Appeal to attorney general. </w:t>
      </w:r>
      <w:r>
        <w:rPr>
          <w:rFonts w:ascii="Times New Roman" w:hAnsi="Times New Roman"/>
          <w:b w:val="false"/>
          <w:i w:val="false"/>
          <w:color w:val="000000"/>
          <w:sz w:val="22"/>
        </w:rPr>
        <w:t>An agency may further appeal from a denial of appeal by the supervising deputy to the attorney general within 30 days of the date the supervising deputy’s written decision was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33.9(3)</w:t>
      </w:r>
      <w:r>
        <w:rPr>
          <w:rFonts w:ascii="Times New Roman" w:hAnsi="Times New Roman"/>
          <w:b w:val="false"/>
          <w:i w:val="false"/>
          <w:color w:val="000000"/>
          <w:sz w:val="22"/>
        </w:rPr>
        <w:t> </w:t>
      </w:r>
      <w:r>
        <w:rPr>
          <w:rFonts w:ascii="Times New Roman" w:hAnsi="Times New Roman"/>
          <w:b w:val="false"/>
          <w:i/>
          <w:color w:val="000000"/>
          <w:sz w:val="22"/>
        </w:rPr>
        <w:t xml:space="preserve">Appeal to district court. </w:t>
      </w:r>
      <w:r>
        <w:rPr>
          <w:rFonts w:ascii="Times New Roman" w:hAnsi="Times New Roman"/>
          <w:b w:val="false"/>
          <w:i w:val="false"/>
          <w:color w:val="000000"/>
          <w:sz w:val="22"/>
        </w:rPr>
        <w:t>An agency which disagrees with the decision of the attorney general has the right to appeal to the district court within 30 days of receipt of the attorney general’s final decision.</w:t>
      </w:r>
    </w:p>
    <w:p>
      <w:pPr>
        <w:spacing w:before="0" w:after="0"/>
        <w:ind w:left="120"/>
        <w:jc w:val="both"/>
      </w:pPr>
      <w:r>
        <w:rPr>
          <w:rFonts w:ascii="Times New Roman" w:hAnsi="Times New Roman"/>
          <w:b/>
          <w:i w:val="false"/>
          <w:color w:val="000000"/>
          <w:sz w:val="22"/>
        </w:rPr>
        <w:t>61—33.10</w:t>
      </w:r>
      <w:r>
        <w:rPr>
          <w:rFonts w:ascii="Times New Roman" w:hAnsi="Times New Roman"/>
          <w:b/>
          <w:i w:val="false"/>
          <w:color w:val="000000"/>
          <w:sz w:val="22"/>
        </w:rPr>
        <w:t xml:space="preserve">(809A) </w:t>
      </w:r>
      <w:r>
        <w:rPr>
          <w:rFonts w:ascii="Times New Roman" w:hAnsi="Times New Roman"/>
          <w:b/>
          <w:i w:val="false"/>
          <w:color w:val="000000"/>
          <w:sz w:val="22"/>
        </w:rPr>
        <w:t xml:space="preserve">Interest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33.10(1)</w:t>
      </w:r>
      <w:r>
        <w:rPr>
          <w:rFonts w:ascii="Times New Roman" w:hAnsi="Times New Roman"/>
          <w:b w:val="false"/>
          <w:i w:val="false"/>
          <w:color w:val="000000"/>
          <w:sz w:val="22"/>
        </w:rPr>
        <w:t> </w:t>
      </w:r>
      <w:r>
        <w:rPr>
          <w:rFonts w:ascii="Times New Roman" w:hAnsi="Times New Roman"/>
          <w:b w:val="false"/>
          <w:i w:val="false"/>
          <w:color w:val="000000"/>
          <w:sz w:val="22"/>
        </w:rPr>
        <w:t>The term “interest holder” shall include an entity which owns or holds a properly perfected mortgage, security interest, or other interest in real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33.10(2)</w:t>
      </w:r>
      <w:r>
        <w:rPr>
          <w:rFonts w:ascii="Times New Roman" w:hAnsi="Times New Roman"/>
          <w:b w:val="false"/>
          <w:i w:val="false"/>
          <w:color w:val="000000"/>
          <w:sz w:val="22"/>
        </w:rPr>
        <w:t> </w:t>
      </w:r>
      <w:r>
        <w:rPr>
          <w:rFonts w:ascii="Times New Roman" w:hAnsi="Times New Roman"/>
          <w:b w:val="false"/>
          <w:i w:val="false"/>
          <w:color w:val="000000"/>
          <w:sz w:val="22"/>
        </w:rPr>
        <w:t>An interest holder with an exempt interest in forfeited property may be appointed as an agent to act in disposing of forfeited property. An interest holder acting as an agent in disposing of forfeited property shall be relieved of any and all duties that would be imposed on the lienholder if it were acting in its capacity as a lienholder.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809A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6/29/98, Notice 2/11/98—published 7/15/98, effective 8/19/98]</w:t>
      </w:r>
    </w:p>
    <w:p>
      <w:pPr>
        <w:spacing w:before="0" w:after="0"/>
        <w:ind w:left="120"/>
        <w:jc w:val="center"/>
      </w:pPr>
      <w:r>
        <w:rPr>
          <w:rFonts w:ascii="Times New Roman" w:hAnsi="Times New Roman"/>
          <w:b w:val="false"/>
          <w:i w:val="false"/>
          <w:color w:val="000000"/>
          <w:sz w:val="21"/>
        </w:rPr>
        <w:t>[Filed ARC 8476B</w:t>
      </w:r>
      <w:r>
        <w:rPr>
          <w:rFonts w:ascii="Times New Roman" w:hAnsi="Times New Roman"/>
          <w:b w:val="false"/>
          <w:i w:val="false"/>
          <w:color w:val="000000"/>
          <w:sz w:val="21"/>
        </w:rPr>
        <w:t xml:space="preserve"> (Notice ARC 8257B,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0751C</w:t>
      </w:r>
      <w:r>
        <w:rPr>
          <w:rFonts w:ascii="Times New Roman" w:hAnsi="Times New Roman"/>
          <w:b w:val="false"/>
          <w:i w:val="false"/>
          <w:color w:val="000000"/>
          <w:sz w:val="21"/>
        </w:rPr>
        <w:t xml:space="preserve"> (Notice ARC 0646C, IAB 3/20/13)</w:t>
      </w:r>
      <w:r>
        <w:rPr>
          <w:rFonts w:ascii="Times New Roman" w:hAnsi="Times New Roman"/>
          <w:b w:val="false"/>
          <w:i w:val="false"/>
          <w:color w:val="000000"/>
          <w:sz w:val="21"/>
        </w:rPr>
        <w:t>, IAB 5/29/13, effective 7/3/13]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9A.25.pdf" Type="http://schemas.openxmlformats.org/officeDocument/2006/relationships/hyperlink" Id="rId5"/>
    <Relationship TargetMode="External" Target="https://www.legis.iowa.gov/docs/ico/chapter/483A.33.pdf" Type="http://schemas.openxmlformats.org/officeDocument/2006/relationships/hyperlink" Id="rId6"/>
    <Relationship TargetMode="External" Target="https://www.legis.iowa.gov/docs/ico/chapter/124.506.pdf" Type="http://schemas.openxmlformats.org/officeDocument/2006/relationships/hyperlink" Id="rId7"/>
    <Relationship TargetMode="External" Target="https://www.legis.iowa.gov/docs/ico/chapter/728.pdf" Type="http://schemas.openxmlformats.org/officeDocument/2006/relationships/hyperlink" Id="rId8"/>
    <Relationship TargetMode="External" Target="https://www.legis.iowa.gov/docs/iac/rule/61.33.8.pdf" Type="http://schemas.openxmlformats.org/officeDocument/2006/relationships/hyperlink" Id="rId9"/>
    <Relationship TargetMode="External" Target="https://www.legis.iowa.gov/docs/ico/chapter/809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