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w:t>
      </w:r>
    </w:p>
    <w:p>
      <w:pPr>
        <w:spacing w:before="0" w:after="0"/>
        <w:ind w:left="120"/>
        <w:jc w:val="center"/>
      </w:pPr>
      <w:r>
        <w:rPr>
          <w:rFonts w:ascii="Times New Roman" w:hAnsi="Times New Roman"/>
          <w:b w:val="false"/>
          <w:i w:val="false"/>
          <w:color w:val="000000"/>
          <w:sz w:val="21"/>
        </w:rPr>
        <w:t>NEW MOTOR VEHICLE WARRANTY—PROTECTION</w:t>
      </w:r>
      <w:r>
        <w:br/>
      </w:r>
      <w:r>
        <w:rPr>
          <w:rFonts w:ascii="Times New Roman" w:hAnsi="Times New Roman"/>
          <w:b w:val="false"/>
          <w:i w:val="false"/>
          <w:color w:val="000000"/>
          <w:sz w:val="21"/>
        </w:rPr>
        <w:t>(LEMON LAW)</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61—30.1</w:t>
      </w:r>
      <w:r>
        <w:rPr>
          <w:rFonts w:ascii="Times New Roman" w:hAnsi="Times New Roman"/>
          <w:b/>
          <w:i w:val="false"/>
          <w:color w:val="000000"/>
          <w:sz w:val="22"/>
        </w:rPr>
        <w:t xml:space="preserve">(322G)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term “Lemon Law” as used herein refers to Iowa Code chapter </w:t>
      </w:r>
      <w:hyperlink r:id="rId5">
        <w:r>
          <w:rPr>
            <w:rStyle w:val="Hyperlink"/>
            <w:rFonts w:ascii="Times New Roman" w:hAnsi="Times New Roman"/>
            <w:b w:val="false"/>
            <w:i w:val="false"/>
            <w:color w:val="000000"/>
            <w:sz w:val="22"/>
          </w:rPr>
          <w:t>322G</w:t>
        </w:r>
      </w:hyperlink>
      <w:r>
        <w:rPr>
          <w:rFonts w:ascii="Times New Roman" w:hAnsi="Times New Roman"/>
          <w:b w:val="false"/>
          <w:i w:val="false"/>
          <w:color w:val="000000"/>
          <w:sz w:val="22"/>
        </w:rPr>
        <w:t>. Other terms used in these rules have the same definitions as in the Lemon Law.</w:t>
      </w:r>
    </w:p>
    <w:p>
      <w:pPr>
        <w:spacing w:before="0" w:after="0"/>
        <w:ind w:left="120"/>
        <w:jc w:val="both"/>
      </w:pPr>
      <w:r>
        <w:rPr>
          <w:rFonts w:ascii="Times New Roman" w:hAnsi="Times New Roman"/>
          <w:b/>
          <w:i w:val="false"/>
          <w:color w:val="000000"/>
          <w:sz w:val="22"/>
        </w:rPr>
        <w:t>61—30.2</w:t>
      </w:r>
      <w:r>
        <w:rPr>
          <w:rFonts w:ascii="Times New Roman" w:hAnsi="Times New Roman"/>
          <w:b/>
          <w:i w:val="false"/>
          <w:color w:val="000000"/>
          <w:sz w:val="22"/>
        </w:rPr>
        <w:t xml:space="preserve">(322G) </w:t>
      </w:r>
      <w:r>
        <w:rPr>
          <w:rFonts w:ascii="Times New Roman" w:hAnsi="Times New Roman"/>
          <w:b/>
          <w:i w:val="false"/>
          <w:color w:val="000000"/>
          <w:sz w:val="22"/>
        </w:rPr>
        <w:t xml:space="preserve">Statement of consumer rights. </w:t>
      </w:r>
      <w:r>
        <w:rPr>
          <w:rFonts w:ascii="Times New Roman" w:hAnsi="Times New Roman"/>
          <w:b w:val="false"/>
          <w:i w:val="false"/>
          <w:color w:val="000000"/>
          <w:sz w:val="22"/>
        </w:rPr>
        <w:t>A statement of the rights and obligations of a purchaser or lessee under the Lemon Law shall be provided, at the time of purchase or lease, to all purchasers and lessees, as defined in section 2 of the Lemon Law, for all new motor vehicles purchased or leased on or after July 1, 1991. This statement must be provided to purchasers and lessees on a sheet of paper hand-delivered to the purchaser or lessee and must be in uppercase letters in at least 12-point type. The statement must be as follows:</w:t>
      </w:r>
    </w:p>
    <w:p>
      <w:pPr>
        <w:spacing w:before="0" w:after="0"/>
        <w:ind w:left="120"/>
        <w:jc w:val="both"/>
      </w:pPr>
      <w:r>
        <w:rPr>
          <w:rFonts w:ascii="Times New Roman" w:hAnsi="Times New Roman"/>
          <w:b w:val="false"/>
          <w:i w:val="false"/>
          <w:color w:val="000000"/>
          <w:sz w:val="22"/>
        </w:rPr>
        <w:t xml:space="preserve">“THE PURCHASER OR LESSEE OF THIS VEHICLE IS PROTECTED UNDER THE WARRANTY PROVISIONS OF Iowa Code chapter </w:t>
      </w:r>
      <w:hyperlink r:id="rId6">
        <w:r>
          <w:rPr>
            <w:rStyle w:val="Hyperlink"/>
            <w:rFonts w:ascii="Times New Roman" w:hAnsi="Times New Roman"/>
            <w:b w:val="false"/>
            <w:i w:val="false"/>
            <w:color w:val="000000"/>
            <w:sz w:val="22"/>
          </w:rPr>
          <w:t>322G</w:t>
        </w:r>
      </w:hyperlink>
      <w:r>
        <w:rPr>
          <w:rFonts w:ascii="Times New Roman" w:hAnsi="Times New Roman"/>
          <w:b w:val="false"/>
          <w:i w:val="false"/>
          <w:color w:val="000000"/>
          <w:sz w:val="22"/>
        </w:rPr>
        <w:t>, COMMONLY REFERRED TO AS THE “LEMON LAW.” IF THIS VEHICLE FAILS TO CONFORM TO THE MANUFACTURER’S EXPRESS WARRANTY DURING THE TERM OF THE WARRANTY, THE FIRST 2 YEARS OF OWNERSHIP, OR THE FIRST 24,000 MILES, WHICHEVER EXPIRES FIRST, AND THE NONCONFORMITY SUBSTANTIALLY IMPAIRS THE VEHICLE, YOU MAY QUALIFY FOR A REFUND OR REPLACEMENT OF THIS VEHICLE. CONTACT THE MANUFACTURER OF THE VEHICLE IF YOU BELIEVE THE VEHICLE FAILS TO CONFORM TO THE MANUFACTURER’S EXPRESS WARRANTY. FOR FURTHER INFORMATION REGARDING YOUR RIGHTS AND OBLIGATIONS UNDER THE LEMON LAW, CONTACT THE CONSUMER PROTECTION DIVISION OF THE IOWA ATTORNEY GENERAL’S OFFICE AT: CONSUMER PROTECTION DIVISION, HOOVER STATE OFFICE BUILDING, DES MOINES, IOWA 50319, OR TELEPHONE (515)281-5926.”</w:t>
      </w:r>
    </w:p>
    <w:p>
      <w:pPr>
        <w:spacing w:before="0" w:after="0"/>
        <w:ind w:left="120"/>
        <w:jc w:val="both"/>
      </w:pPr>
      <w:r>
        <w:rPr>
          <w:rFonts w:ascii="Times New Roman" w:hAnsi="Times New Roman"/>
          <w:b w:val="false"/>
          <w:i w:val="false"/>
          <w:color w:val="000000"/>
          <w:sz w:val="22"/>
        </w:rPr>
        <w:t>The sheet containing this disclosure must also contain the address and telephone number for the zone, district, or regional office of the manufacturer for this state where a claim may be filed by the consumer.</w:t>
      </w:r>
    </w:p>
    <w:p>
      <w:pPr>
        <w:spacing w:before="0" w:after="0"/>
        <w:ind w:left="120"/>
        <w:jc w:val="both"/>
      </w:pPr>
      <w:r>
        <w:rPr>
          <w:rFonts w:ascii="Times New Roman" w:hAnsi="Times New Roman"/>
          <w:b/>
          <w:i w:val="false"/>
          <w:color w:val="000000"/>
          <w:sz w:val="22"/>
        </w:rPr>
        <w:t>61—30.3</w:t>
      </w:r>
      <w:r>
        <w:rPr>
          <w:rFonts w:ascii="Times New Roman" w:hAnsi="Times New Roman"/>
          <w:b/>
          <w:i w:val="false"/>
          <w:color w:val="000000"/>
          <w:sz w:val="22"/>
        </w:rPr>
        <w:t xml:space="preserve">(322G) </w:t>
      </w:r>
      <w:r>
        <w:rPr>
          <w:rFonts w:ascii="Times New Roman" w:hAnsi="Times New Roman"/>
          <w:b/>
          <w:i w:val="false"/>
          <w:color w:val="000000"/>
          <w:sz w:val="22"/>
        </w:rPr>
        <w:t xml:space="preserve">Disclosure that manufacturer accepted return of vehicle. </w:t>
      </w:r>
      <w:r>
        <w:rPr>
          <w:rFonts w:ascii="Times New Roman" w:hAnsi="Times New Roman"/>
          <w:b w:val="false"/>
          <w:i w:val="false"/>
          <w:color w:val="000000"/>
          <w:sz w:val="22"/>
        </w:rPr>
        <w:t xml:space="preserve">A person shall not knowingly lease or sell, either at wholesale or retail, or transfer a title to a motor vehicle returned by reason of a settlement, determination, or decision pursuant to the Lemon Law or a similar statute of any other state unless the nature of the nonconformity is clearly and conspicuously disclosed to the prospective transferee, lessee, or buyer. The disclosure required by this rule shall be made on a separate sheet of paper in at least 12-point type and must state the following in uppercase letters: “THE FIRST RETAIL PURCHASER OR LESSEE OF THIS VEHICLE RETURNED IT TO THE MANUFACTURER AS PART OF A SETTLEMENT OR DECISION UNDER THE IOWA LEMON LAW, IOWA CODE CHAPTER </w:t>
      </w:r>
      <w:hyperlink r:id="rId7">
        <w:r>
          <w:rPr>
            <w:rStyle w:val="Hyperlink"/>
            <w:rFonts w:ascii="Times New Roman" w:hAnsi="Times New Roman"/>
            <w:b w:val="false"/>
            <w:i w:val="false"/>
            <w:color w:val="000000"/>
            <w:sz w:val="22"/>
          </w:rPr>
          <w:t>322G</w:t>
        </w:r>
      </w:hyperlink>
      <w:r>
        <w:rPr>
          <w:rFonts w:ascii="Times New Roman" w:hAnsi="Times New Roman"/>
          <w:b w:val="false"/>
          <w:i w:val="false"/>
          <w:color w:val="000000"/>
          <w:sz w:val="22"/>
        </w:rPr>
        <w:t>, OR THE LEMON LAW OF ANOTHER STATE. THE FACT THAT THE MANUFACTURER ACCEPTED RETURN OF THE VEHICLE DOES NOT NECESSARILY MEAN THAT THERE ARE STILL PROBLEMS WITH THE VEHICLE. THE FIRST RETAIL PURCHASER OR LESSEE STATED THAT THE VEHICLE HAD THE FOLLOWING PROBLEMS:</w:t>
      </w:r>
    </w:p>
    <w:p>
      <w:pPr>
        <w:spacing w:before="0" w:after="0"/>
        <w:ind w:left="120"/>
        <w:jc w:val="both"/>
      </w:pPr>
      <w:r>
        <w:rPr>
          <w:rFonts w:ascii="Times New Roman" w:hAnsi="Times New Roman"/>
          <w:b w:val="false"/>
          <w:i w:val="false"/>
          <w:color w:val="000000"/>
          <w:sz w:val="22"/>
        </w:rPr>
        <w:t>_______________________________________________________________________________</w:t>
      </w:r>
    </w:p>
    <w:p>
      <w:pPr>
        <w:spacing w:before="0" w:after="0"/>
        <w:ind w:left="120"/>
        <w:jc w:val="both"/>
      </w:pPr>
      <w:r>
        <w:rPr>
          <w:rFonts w:ascii="Times New Roman" w:hAnsi="Times New Roman"/>
          <w:b w:val="false"/>
          <w:i w:val="false"/>
          <w:color w:val="000000"/>
          <w:sz w:val="22"/>
        </w:rPr>
        <w:t>_______________________________________________________________________________</w:t>
      </w:r>
    </w:p>
    <w:p>
      <w:pPr>
        <w:spacing w:before="0" w:after="0"/>
        <w:ind w:left="120"/>
        <w:jc w:val="both"/>
      </w:pPr>
      <w:r>
        <w:rPr>
          <w:rFonts w:ascii="Times New Roman" w:hAnsi="Times New Roman"/>
          <w:b w:val="false"/>
          <w:i w:val="false"/>
          <w:color w:val="000000"/>
          <w:sz w:val="22"/>
        </w:rPr>
        <w:t>_____________________________________________________________________________.”</w:t>
      </w:r>
    </w:p>
    <w:p>
      <w:pPr>
        <w:spacing w:before="0" w:after="0"/>
        <w:ind w:left="120"/>
        <w:jc w:val="both"/>
      </w:pPr>
      <w:r>
        <w:rPr>
          <w:rFonts w:ascii="Times New Roman" w:hAnsi="Times New Roman"/>
          <w:b w:val="false"/>
          <w:i w:val="false"/>
          <w:color w:val="000000"/>
          <w:sz w:val="22"/>
        </w:rPr>
        <w:t>The disclosure required by this rule must contain the name and address of the seller and transferee, lessee or buyer, must be signed by the seller, or the seller’s representative, and the transferee, lessee, or buyer and must contain the date the form was signed by the seller and transferee, lessee, or buyer. The transferee, lessee, or buyer must be provided with an adequate opportunity to review the disclosure form before signing and must be provided with a copy of the completed form at the time of signing. The seller must retain a copy of any completed form for five years following the date the form is completed. For the purposes of this rule, the term “completed” means that all disclosures required by this rule have been made on the form and the form contains the dated signatures of seller and transferee, lessee, or buyer. Substantially similar disclosures to that required by this rule will be permitted with the prior approval of the attorney general.</w:t>
      </w:r>
    </w:p>
    <w:p>
      <w:pPr>
        <w:spacing w:before="0" w:after="0"/>
        <w:ind w:left="120"/>
        <w:jc w:val="both"/>
      </w:pPr>
      <w:r>
        <w:rPr>
          <w:rFonts w:ascii="Times New Roman" w:hAnsi="Times New Roman"/>
          <w:b/>
          <w:i w:val="false"/>
          <w:color w:val="000000"/>
          <w:sz w:val="22"/>
        </w:rPr>
        <w:t>61—30.4</w:t>
      </w:r>
      <w:r>
        <w:rPr>
          <w:rFonts w:ascii="Times New Roman" w:hAnsi="Times New Roman"/>
          <w:b/>
          <w:i w:val="false"/>
          <w:color w:val="000000"/>
          <w:sz w:val="22"/>
        </w:rPr>
        <w:t xml:space="preserve">(322G) </w:t>
      </w:r>
      <w:r>
        <w:rPr>
          <w:rFonts w:ascii="Times New Roman" w:hAnsi="Times New Roman"/>
          <w:b/>
          <w:i w:val="false"/>
          <w:color w:val="000000"/>
          <w:sz w:val="22"/>
        </w:rPr>
        <w:t xml:space="preserve">Certification of manufacturers’ dispute resolution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certification. </w:t>
      </w:r>
      <w:r>
        <w:rPr>
          <w:rFonts w:ascii="Times New Roman" w:hAnsi="Times New Roman"/>
          <w:b w:val="false"/>
          <w:i w:val="false"/>
          <w:color w:val="000000"/>
          <w:sz w:val="22"/>
        </w:rPr>
        <w:t xml:space="preserve">To apply for certification by the attorney general of a manufacturer dispute resolution program under the Lemon Law, a motor vehicle manufacturer may provide proof of certification in another state pursuant to </w:t>
      </w:r>
      <w:hyperlink r:id="rId8">
        <w:r>
          <w:rPr>
            <w:rStyle w:val="Hyperlink"/>
            <w:rFonts w:ascii="Times New Roman" w:hAnsi="Times New Roman"/>
            <w:b w:val="false"/>
            <w:i w:val="false"/>
            <w:color w:val="000000"/>
            <w:sz w:val="22"/>
          </w:rPr>
          <w:t>subrule 30.4(2)</w:t>
        </w:r>
      </w:hyperlink>
      <w:r>
        <w:rPr>
          <w:rFonts w:ascii="Times New Roman" w:hAnsi="Times New Roman"/>
          <w:b w:val="false"/>
          <w:i w:val="false"/>
          <w:color w:val="000000"/>
          <w:sz w:val="22"/>
        </w:rPr>
        <w:t xml:space="preserve"> or provide the following information to the attorney general at: Consumer Protection Division, Hoover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which prove that the manufacturer’s dispute resolution program is in full compliance with 16 CFR Sections 703.3 and 703.4 as amended to May 28, 1991;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written procedures which explain the operation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all written materials provided by the program to the parties to a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most recent of any audits conducted of the program regarding the performance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entity which administers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all written materials provided by the manufacturer to consumers which state how and where to file a claim with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list of the names, addresses, and positions of all program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list of the names, addresses, and occupations of all program decision makers;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Copies of all decisions entered into or decided by the program within the six months prior to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Copies of decisions by other states, granting, renewing, denying, or revoking certification;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Completion of the form “Application for certification of a manufacturer dispute resolution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w:t>
      </w:r>
      <w:r>
        <w:rPr>
          <w:rFonts w:ascii="Times New Roman" w:hAnsi="Times New Roman"/>
          <w:b w:val="false"/>
          <w:i w:val="false"/>
          <w:color w:val="000000"/>
          <w:sz w:val="22"/>
        </w:rPr>
        <w:t> </w:t>
      </w:r>
      <w:r>
        <w:rPr>
          <w:rFonts w:ascii="Times New Roman" w:hAnsi="Times New Roman"/>
          <w:b w:val="false"/>
          <w:i/>
          <w:color w:val="000000"/>
          <w:sz w:val="22"/>
        </w:rPr>
        <w:t xml:space="preserve">Alternative certification. </w:t>
      </w:r>
      <w:r>
        <w:rPr>
          <w:rFonts w:ascii="Times New Roman" w:hAnsi="Times New Roman"/>
          <w:b w:val="false"/>
          <w:i w:val="false"/>
          <w:color w:val="000000"/>
          <w:sz w:val="22"/>
        </w:rPr>
        <w:t xml:space="preserve">If a manufacturer’s dispute resolution program is certified in another state under a law substantially similar to the Lemon Law, the manufacturer may apply for certification to the attorney general by providing proof of such certification. In determining whether to certify a dispute resolution program under this subrule, the attorney general may require the manufacturer to submit any of the information included in </w:t>
      </w:r>
      <w:hyperlink r:id="rId9">
        <w:r>
          <w:rPr>
            <w:rStyle w:val="Hyperlink"/>
            <w:rFonts w:ascii="Times New Roman" w:hAnsi="Times New Roman"/>
            <w:b w:val="false"/>
            <w:i w:val="false"/>
            <w:color w:val="000000"/>
            <w:sz w:val="22"/>
          </w:rPr>
          <w:t>subrule 30.4(1)</w:t>
        </w:r>
      </w:hyperlink>
      <w:r>
        <w:rPr>
          <w:rFonts w:ascii="Times New Roman" w:hAnsi="Times New Roman"/>
          <w:b w:val="false"/>
          <w:i w:val="false"/>
          <w:color w:val="000000"/>
          <w:sz w:val="22"/>
        </w:rPr>
        <w:t xml:space="preserve"> and may consider any information obtained from any state in which the manufacturer’s dispute resolution program is or was certified or where an application for certification of the program is under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w:t>
      </w:r>
      <w:r>
        <w:rPr>
          <w:rFonts w:ascii="Times New Roman" w:hAnsi="Times New Roman"/>
          <w:b w:val="false"/>
          <w:i w:val="false"/>
          <w:color w:val="000000"/>
          <w:sz w:val="22"/>
        </w:rPr>
        <w:t> </w:t>
      </w:r>
      <w:r>
        <w:rPr>
          <w:rFonts w:ascii="Times New Roman" w:hAnsi="Times New Roman"/>
          <w:b w:val="false"/>
          <w:i/>
          <w:color w:val="000000"/>
          <w:sz w:val="22"/>
        </w:rPr>
        <w:t xml:space="preserve">Denial of certification. </w:t>
      </w:r>
      <w:r>
        <w:rPr>
          <w:rFonts w:ascii="Times New Roman" w:hAnsi="Times New Roman"/>
          <w:b w:val="false"/>
          <w:i w:val="false"/>
          <w:color w:val="000000"/>
          <w:sz w:val="22"/>
        </w:rPr>
        <w:t>The attorney general shall notify a manufacturer by regular mail of the denial of an application for certification of a dispute resolution program. The attorney general’s notice to the manufacturer shall include a statement of the reasons for the denial. A manufacturer may request further review of a denial of certification. The written request must be received by the Consumer Protection Division, Hoover State Office Building, Des Moines, Iowa 50319, within 30 days following the mailing of notification of the denial or revocation of certification. Any additional information to be considered by the attorney general must be filed with the application for further review and not later. If upon further review, the attorney general affirms the denial of certification, or if the manufacturer does not request further review, the decision shall be final. The manufacturer may file a new application for certification at any time following the date the decision becomes final.</w:t>
      </w:r>
    </w:p>
    <w:p>
      <w:pPr>
        <w:spacing w:before="0" w:after="0"/>
        <w:ind w:left="120"/>
        <w:jc w:val="both"/>
      </w:pPr>
      <w:r>
        <w:rPr>
          <w:rFonts w:ascii="Times New Roman" w:hAnsi="Times New Roman"/>
          <w:b/>
          <w:i w:val="false"/>
          <w:color w:val="000000"/>
          <w:sz w:val="22"/>
        </w:rPr>
        <w:t>61—30.5</w:t>
      </w:r>
      <w:r>
        <w:rPr>
          <w:rFonts w:ascii="Times New Roman" w:hAnsi="Times New Roman"/>
          <w:b/>
          <w:i w:val="false"/>
          <w:color w:val="000000"/>
          <w:sz w:val="22"/>
        </w:rPr>
        <w:t xml:space="preserve">(322G) </w:t>
      </w:r>
      <w:r>
        <w:rPr>
          <w:rFonts w:ascii="Times New Roman" w:hAnsi="Times New Roman"/>
          <w:b/>
          <w:i w:val="false"/>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w:t>
      </w:r>
      <w:r>
        <w:rPr>
          <w:rFonts w:ascii="Times New Roman" w:hAnsi="Times New Roman"/>
          <w:b w:val="false"/>
          <w:i w:val="false"/>
          <w:color w:val="000000"/>
          <w:sz w:val="22"/>
        </w:rPr>
        <w:t> </w:t>
      </w:r>
      <w:r>
        <w:rPr>
          <w:rFonts w:ascii="Times New Roman" w:hAnsi="Times New Roman"/>
          <w:b w:val="false"/>
          <w:i/>
          <w:color w:val="000000"/>
          <w:sz w:val="22"/>
        </w:rPr>
        <w:t xml:space="preserve">Fines. </w:t>
      </w:r>
      <w:r>
        <w:rPr>
          <w:rFonts w:ascii="Times New Roman" w:hAnsi="Times New Roman"/>
          <w:b w:val="false"/>
          <w:i w:val="false"/>
          <w:color w:val="000000"/>
          <w:sz w:val="22"/>
        </w:rPr>
        <w:t>If the attorney general has probable cause to believe that a manufacturer has violated the Lemon Law or these rules, the attorney general may issue a statement of charges and notice of hearing to determine whether a fine should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w:t>
      </w:r>
      <w:r>
        <w:rPr>
          <w:rFonts w:ascii="Times New Roman" w:hAnsi="Times New Roman"/>
          <w:b w:val="false"/>
          <w:i w:val="false"/>
          <w:color w:val="000000"/>
          <w:sz w:val="22"/>
        </w:rPr>
        <w:t> </w:t>
      </w:r>
      <w:r>
        <w:rPr>
          <w:rFonts w:ascii="Times New Roman" w:hAnsi="Times New Roman"/>
          <w:b w:val="false"/>
          <w:i/>
          <w:color w:val="000000"/>
          <w:sz w:val="22"/>
        </w:rPr>
        <w:t xml:space="preserve">Revocation of certification. </w:t>
      </w:r>
      <w:r>
        <w:rPr>
          <w:rFonts w:ascii="Times New Roman" w:hAnsi="Times New Roman"/>
          <w:b w:val="false"/>
          <w:i w:val="false"/>
          <w:color w:val="000000"/>
          <w:sz w:val="22"/>
        </w:rPr>
        <w:t>If the attorney general has probable cause to believe that certification of a manufacturer’s dispute resolution program should be revoked, the attorney general may issue a statement of charges and notice of hearing to determine if certification should be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 xml:space="preserve">Hearings shall be governed by the provisions of </w:t>
      </w:r>
      <w:hyperlink r:id="rId10">
        <w:r>
          <w:rPr>
            <w:rStyle w:val="Hyperlink"/>
            <w:rFonts w:ascii="Times New Roman" w:hAnsi="Times New Roman"/>
            <w:b w:val="false"/>
            <w:i w:val="false"/>
            <w:color w:val="000000"/>
            <w:sz w:val="22"/>
          </w:rPr>
          <w:t>61—25.4(577B,252J)</w:t>
        </w:r>
      </w:hyperlink>
      <w:r>
        <w:rPr>
          <w:rFonts w:ascii="Times New Roman" w:hAnsi="Times New Roman"/>
          <w:b w:val="false"/>
          <w:i w:val="false"/>
          <w:color w:val="000000"/>
          <w:sz w:val="22"/>
        </w:rPr>
        <w:t>. References to the “applicant,” “registrant,” or “respondent” in those rules shall include the manufacturer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w:t>
      </w:r>
      <w:r>
        <w:rPr>
          <w:rFonts w:ascii="Times New Roman" w:hAnsi="Times New Roman"/>
          <w:b w:val="false"/>
          <w:i w:val="false"/>
          <w:color w:val="000000"/>
          <w:sz w:val="22"/>
        </w:rPr>
        <w:t> </w:t>
      </w:r>
      <w:r>
        <w:rPr>
          <w:rFonts w:ascii="Times New Roman" w:hAnsi="Times New Roman"/>
          <w:b w:val="false"/>
          <w:i/>
          <w:color w:val="000000"/>
          <w:sz w:val="22"/>
        </w:rPr>
        <w:t xml:space="preserve">Remedies. </w:t>
      </w:r>
      <w:r>
        <w:rPr>
          <w:rFonts w:ascii="Times New Roman" w:hAnsi="Times New Roman"/>
          <w:b w:val="false"/>
          <w:i w:val="false"/>
          <w:color w:val="000000"/>
          <w:sz w:val="22"/>
        </w:rPr>
        <w:t xml:space="preserve">The remedies available for violations of the Lemon Law or these rules include, but are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Dismissal of the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Imposition of a penalty against the manufacturer not to exceed $1000 per violation of the Lemon Law or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Revocation of certification of a manufacturer’s dispute resolution program.</w:t>
      </w:r>
    </w:p>
    <w:p>
      <w:pPr>
        <w:spacing w:before="0" w:after="0"/>
        <w:ind w:left="120"/>
        <w:jc w:val="both"/>
      </w:pPr>
      <w:r>
        <w:rPr>
          <w:rFonts w:ascii="Times New Roman" w:hAnsi="Times New Roman"/>
          <w:b/>
          <w:i w:val="false"/>
          <w:color w:val="000000"/>
          <w:sz w:val="22"/>
        </w:rPr>
        <w:t>61—30.6</w:t>
      </w:r>
      <w:r>
        <w:rPr>
          <w:rFonts w:ascii="Times New Roman" w:hAnsi="Times New Roman"/>
          <w:b/>
          <w:i w:val="false"/>
          <w:color w:val="000000"/>
          <w:sz w:val="22"/>
        </w:rPr>
        <w:t xml:space="preserve">(322G) </w:t>
      </w:r>
      <w:r>
        <w:rPr>
          <w:rFonts w:ascii="Times New Roman" w:hAnsi="Times New Roman"/>
          <w:b/>
          <w:i w:val="false"/>
          <w:color w:val="000000"/>
          <w:sz w:val="22"/>
        </w:rPr>
        <w:t xml:space="preserve">Notification of settlement or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30.6(1)</w:t>
      </w:r>
      <w:r>
        <w:rPr>
          <w:rFonts w:ascii="Times New Roman" w:hAnsi="Times New Roman"/>
          <w:b w:val="false"/>
          <w:i w:val="false"/>
          <w:color w:val="000000"/>
          <w:sz w:val="22"/>
        </w:rPr>
        <w:t> </w:t>
      </w:r>
      <w:r>
        <w:rPr>
          <w:rFonts w:ascii="Times New Roman" w:hAnsi="Times New Roman"/>
          <w:b w:val="false"/>
          <w:i w:val="false"/>
          <w:color w:val="000000"/>
          <w:sz w:val="22"/>
        </w:rPr>
        <w:t xml:space="preserve">A manufacturer’s dispute resolution program certified in this state, or a program established by a manufacturer applying for certification in this state, shall submit to the attorney general a copy of each settlement approved by the program and decision made by the decision maker within 30 days after the settlement is reached or the decision is rendered.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 or settlement shall contain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year, make, model, and vehicle identification number of the vehicle in question, and a copy of the consumer’s or lessee’s certificate of title for the vehicle if replaced or if a refund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consumer’s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manufacturer’s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dealership at which the vehicle was purchased or leased and the date of the original delivery of the vehicle to a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consumer’s sales or lease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all collateral charges incurred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list of all incidental charges incurred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 lease, a list of all factors taken into consideration in determining the lease price and lessee cost and the monetary sum for each such factor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 of each nonconformity alleged by the consumer to substantially impair the motor vehicle, the date of the consumer’s first report of each nonconformity to the manufacturer, and, if available, the odometer reading of the vehicle on the date of the consumer’s first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the consumer’s written notification to the manufacturer of each nonconformity for which: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Three attempts have been made to repair the same nonconformity;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attempt has been made to repair a nonconformity that is likely to cause death or serious bodily injury;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motor vehicle has been out of service by reason of repair of one or more nonconformities for 20 or more cumulative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number of miles attributable to the consumer up to the date of the third attempt to repair the same nonconformity which is the subject of the claim, or the first attempt to repair a nonconformity that is likely to cause death or serious bodily injury, or the twentieth cumulative day when the vehicle is out of service by reason of repair of one or more nonconformities,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date the dispute was submitted to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If a decision, the name of the decision maker, the date the decision was rendered, the reasons for the decision, the actions required of the manufacturer, if applicable, and the date by which the manufacturer was to fulfill the terms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If a settlement, the date of the settlement;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terms of settlement or decision, including: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a refund 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sum of reasonable offset for use, if any, and a detailed explanation of the calculation of the offset;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refund, the sum of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of delivery and year, make, model, and vehicle identification number of replacement vehicle,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odometer reading of the vehicle at the time the manufacturer accepted return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30.6(3)</w:t>
      </w:r>
      <w:r>
        <w:rPr>
          <w:rFonts w:ascii="Times New Roman" w:hAnsi="Times New Roman"/>
          <w:b w:val="false"/>
          <w:i w:val="false"/>
          <w:color w:val="000000"/>
          <w:sz w:val="22"/>
        </w:rPr>
        <w:t> </w:t>
      </w:r>
      <w:r>
        <w:rPr>
          <w:rFonts w:ascii="Times New Roman" w:hAnsi="Times New Roman"/>
          <w:b w:val="false"/>
          <w:i w:val="false"/>
          <w:color w:val="000000"/>
          <w:sz w:val="22"/>
        </w:rPr>
        <w:t>Any records submitted, or portions thereof, may be stored by the attorney general on a computer system.</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322G</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6/28/91—published 7/24/91, effective 6/28/91]</w:t>
      </w:r>
    </w:p>
    <w:p>
      <w:pPr>
        <w:spacing w:before="0" w:after="0"/>
        <w:ind w:left="120"/>
        <w:jc w:val="center"/>
      </w:pPr>
      <w:r>
        <w:rPr>
          <w:rFonts w:ascii="Times New Roman" w:hAnsi="Times New Roman"/>
          <w:b w:val="false"/>
          <w:i w:val="false"/>
          <w:color w:val="000000"/>
          <w:sz w:val="21"/>
        </w:rPr>
        <w:t>[Filed 11/4/91, Notice 9/4/91—published 11/27/91, effective 1/1/92]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2G.pdf" Type="http://schemas.openxmlformats.org/officeDocument/2006/relationships/hyperlink" Id="rId5"/>
    <Relationship TargetMode="External" Target="https://www.legis.iowa.gov/docs/ico/chapter/322G.pdf" Type="http://schemas.openxmlformats.org/officeDocument/2006/relationships/hyperlink" Id="rId6"/>
    <Relationship TargetMode="External" Target="https://www.legis.iowa.gov/docs/ico/chapter/322G.pdf" Type="http://schemas.openxmlformats.org/officeDocument/2006/relationships/hyperlink" Id="rId7"/>
    <Relationship TargetMode="External" Target="https://www.legis.iowa.gov/docs/iac/rule/61.30.4.pdf" Type="http://schemas.openxmlformats.org/officeDocument/2006/relationships/hyperlink" Id="rId8"/>
    <Relationship TargetMode="External" Target="https://www.legis.iowa.gov/docs/iac/rule/61.30.4.pdf" Type="http://schemas.openxmlformats.org/officeDocument/2006/relationships/hyperlink" Id="rId9"/>
    <Relationship TargetMode="External" Target="https://www.legis.iowa.gov/docs/iac/rule/61.25.4.pdf" Type="http://schemas.openxmlformats.org/officeDocument/2006/relationships/hyperlink" Id="rId10"/>
    <Relationship TargetMode="External" Target="https://www.legis.iowa.gov/docs/ico/chapter/322G.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