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 xml:space="preserve">PROFESSIONAL COMMERCIAL FUND-RAISERS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61—24.1</w:t>
      </w:r>
      <w:r>
        <w:rPr>
          <w:rFonts w:ascii="Times New Roman" w:hAnsi="Times New Roman"/>
          <w:b/>
          <w:i w:val="false"/>
          <w:color w:val="000000"/>
          <w:sz w:val="22"/>
        </w:rPr>
        <w:t xml:space="preserve">(13C, 252J) </w:t>
      </w:r>
      <w:r>
        <w:rPr>
          <w:rFonts w:ascii="Times New Roman" w:hAnsi="Times New Roman"/>
          <w:b/>
          <w:i w:val="false"/>
          <w:color w:val="000000"/>
          <w:sz w:val="22"/>
        </w:rPr>
        <w:t xml:space="preserve">Registration permit denial. </w:t>
      </w:r>
      <w:r>
        <w:rPr>
          <w:rFonts w:ascii="Times New Roman" w:hAnsi="Times New Roman"/>
          <w:b w:val="false"/>
          <w:i w:val="false"/>
          <w:color w:val="000000"/>
          <w:sz w:val="22"/>
        </w:rPr>
        <w:t xml:space="preserve">The attorney general shall deny an application for registration as a professional commercial fund-raiser pursuant to Iowa Code section </w:t>
      </w:r>
      <w:hyperlink r:id="rId5">
        <w:r>
          <w:rPr>
            <w:rStyle w:val="Hyperlink"/>
            <w:rFonts w:ascii="Times New Roman" w:hAnsi="Times New Roman"/>
            <w:b w:val="false"/>
            <w:i w:val="false"/>
            <w:color w:val="000000"/>
            <w:sz w:val="22"/>
          </w:rPr>
          <w:t>13C.2</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if the applicant: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failed to fully complete all required registration permit applications;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Has failed either to include with the registration permit application financial disclosure information requested by the attorney general or file a statement with the permit application that the fund-raiser agrees to provide, without cost, the financial disclosure information required to be disclosed by Iowa Code section </w:t>
      </w:r>
      <w:hyperlink r:id="rId7">
        <w:r>
          <w:rPr>
            <w:rStyle w:val="Hyperlink"/>
            <w:rFonts w:ascii="Times New Roman" w:hAnsi="Times New Roman"/>
            <w:b w:val="false"/>
            <w:i w:val="false"/>
            <w:color w:val="000000"/>
            <w:sz w:val="22"/>
          </w:rPr>
          <w:t>13C.2</w:t>
        </w:r>
      </w:hyperlink>
      <w:r>
        <w:rPr>
          <w:rFonts w:ascii="Times New Roman" w:hAnsi="Times New Roman"/>
          <w:b w:val="false"/>
          <w:i w:val="false"/>
          <w:color w:val="000000"/>
          <w:sz w:val="22"/>
        </w:rPr>
        <w:t xml:space="preserve"> to a person or government entity requesting the information within one day of the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failed to provide the attorney general with a current listing of the professional commercial fund-raiser’s clients;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failed to pay the required registration permit fee to the attorney general;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Is an individual and the attorney general has received a certificate of noncompliance from the child support recovery unit in regard to the individual, until the unit furnishes the attorney general with a withdrawal of the certificate of noncompliance.</w:t>
      </w:r>
    </w:p>
    <w:p>
      <w:pPr>
        <w:spacing w:before="210" w:after="0"/>
        <w:ind w:left="120"/>
        <w:jc w:val="both"/>
      </w:pPr>
      <w:r>
        <w:rPr>
          <w:rFonts w:ascii="Times New Roman" w:hAnsi="Times New Roman"/>
          <w:b/>
          <w:i w:val="false"/>
          <w:color w:val="000000"/>
          <w:sz w:val="22"/>
        </w:rPr>
        <w:t>61—24.2</w:t>
      </w:r>
      <w:r>
        <w:rPr>
          <w:rFonts w:ascii="Times New Roman" w:hAnsi="Times New Roman"/>
          <w:b/>
          <w:i w:val="false"/>
          <w:color w:val="000000"/>
          <w:sz w:val="22"/>
        </w:rPr>
        <w:t xml:space="preserve">(13C,252J) </w:t>
      </w:r>
      <w:r>
        <w:rPr>
          <w:rFonts w:ascii="Times New Roman" w:hAnsi="Times New Roman"/>
          <w:b/>
          <w:i w:val="false"/>
          <w:color w:val="000000"/>
          <w:sz w:val="22"/>
        </w:rPr>
        <w:t xml:space="preserve">Notice of denial of registration based on nonpayment of child support. </w:t>
      </w:r>
      <w:r>
        <w:rPr>
          <w:rFonts w:ascii="Times New Roman" w:hAnsi="Times New Roman"/>
          <w:b w:val="false"/>
          <w:i w:val="false"/>
          <w:color w:val="000000"/>
          <w:sz w:val="22"/>
        </w:rPr>
        <w:t xml:space="preserve">The notice required by Iowa Code section </w:t>
      </w:r>
      <w:hyperlink r:id="rId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applicant by restricted certified mail, return receipt requested, or personal service in accordance with Iowa Rules of Civil Procedure 56.1. Alternatively, the applicant may accept service personally or through authorized counsel.</w:t>
      </w:r>
    </w:p>
    <w:p>
      <w:pPr>
        <w:spacing w:before="210" w:after="0"/>
        <w:ind w:left="120"/>
        <w:jc w:val="both"/>
      </w:pPr>
      <w:r>
        <w:rPr>
          <w:rFonts w:ascii="Times New Roman" w:hAnsi="Times New Roman"/>
          <w:b/>
          <w:i w:val="false"/>
          <w:color w:val="000000"/>
          <w:sz w:val="22"/>
        </w:rPr>
        <w:t>61—24.3</w:t>
      </w:r>
      <w:r>
        <w:rPr>
          <w:rFonts w:ascii="Times New Roman" w:hAnsi="Times New Roman"/>
          <w:b/>
          <w:i w:val="false"/>
          <w:color w:val="000000"/>
          <w:sz w:val="22"/>
        </w:rPr>
        <w:t xml:space="preserve">(13C,252J) </w:t>
      </w:r>
      <w:r>
        <w:rPr>
          <w:rFonts w:ascii="Times New Roman" w:hAnsi="Times New Roman"/>
          <w:b/>
          <w:i w:val="false"/>
          <w:color w:val="000000"/>
          <w:sz w:val="22"/>
        </w:rPr>
        <w:t xml:space="preserve">Obligation of applicants to notify attorney general concerning nonpayment of child support. </w:t>
      </w:r>
      <w:r>
        <w:rPr>
          <w:rFonts w:ascii="Times New Roman" w:hAnsi="Times New Roman"/>
          <w:b w:val="false"/>
          <w:i w:val="false"/>
          <w:color w:val="000000"/>
          <w:sz w:val="22"/>
        </w:rPr>
        <w:t xml:space="preserve">Applicants shall keep the attorney general informed of all court actions, and all child support recovery unit actions taken under or in connection with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attorney general copies, within seven days of filing or issuance, of all applications filed with the district court pursuant to Iowa Code section </w:t>
      </w:r>
      <w:hyperlink r:id="rId1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210" w:after="0"/>
        <w:ind w:left="120"/>
        <w:jc w:val="both"/>
      </w:pPr>
      <w:r>
        <w:rPr>
          <w:rFonts w:ascii="Times New Roman" w:hAnsi="Times New Roman"/>
          <w:b/>
          <w:i w:val="false"/>
          <w:color w:val="000000"/>
          <w:sz w:val="22"/>
        </w:rPr>
        <w:t>61—24.4</w:t>
      </w:r>
      <w:r>
        <w:rPr>
          <w:rFonts w:ascii="Times New Roman" w:hAnsi="Times New Roman"/>
          <w:b/>
          <w:i w:val="false"/>
          <w:color w:val="000000"/>
          <w:sz w:val="22"/>
        </w:rPr>
        <w:t xml:space="preserve">(13C,252J) </w:t>
      </w:r>
      <w:r>
        <w:rPr>
          <w:rFonts w:ascii="Times New Roman" w:hAnsi="Times New Roman"/>
          <w:b/>
          <w:i w:val="false"/>
          <w:color w:val="000000"/>
          <w:sz w:val="22"/>
        </w:rPr>
        <w:t xml:space="preserve">Effective date of denial based on nonpayment of child support. </w:t>
      </w:r>
      <w:r>
        <w:rPr>
          <w:rFonts w:ascii="Times New Roman" w:hAnsi="Times New Roman"/>
          <w:b w:val="false"/>
          <w:i w:val="false"/>
          <w:color w:val="000000"/>
          <w:sz w:val="22"/>
        </w:rPr>
        <w:t>The effective date of denial of registration, as specified in the notice required by 252J.8, shall be 60 days following service of the notice upon the applicant.</w:t>
      </w:r>
    </w:p>
    <w:p>
      <w:pPr>
        <w:spacing w:before="210" w:after="0"/>
        <w:ind w:left="120"/>
        <w:jc w:val="both"/>
      </w:pPr>
      <w:r>
        <w:rPr>
          <w:rFonts w:ascii="Times New Roman" w:hAnsi="Times New Roman"/>
          <w:b/>
          <w:i w:val="false"/>
          <w:color w:val="000000"/>
          <w:sz w:val="22"/>
        </w:rPr>
        <w:t>61—24.5</w:t>
      </w:r>
      <w:r>
        <w:rPr>
          <w:rFonts w:ascii="Times New Roman" w:hAnsi="Times New Roman"/>
          <w:b/>
          <w:i w:val="false"/>
          <w:color w:val="000000"/>
          <w:sz w:val="22"/>
        </w:rPr>
        <w:t xml:space="preserve">(13C,252J) </w:t>
      </w:r>
      <w:r>
        <w:rPr>
          <w:rFonts w:ascii="Times New Roman" w:hAnsi="Times New Roman"/>
          <w:b/>
          <w:i w:val="false"/>
          <w:color w:val="000000"/>
          <w:sz w:val="22"/>
        </w:rPr>
        <w:t xml:space="preserve">Calculating effective dates of denial of registration based on nonpayment of child support. </w:t>
      </w:r>
      <w:r>
        <w:rPr>
          <w:rFonts w:ascii="Times New Roman" w:hAnsi="Times New Roman"/>
          <w:b w:val="false"/>
          <w:i w:val="false"/>
          <w:color w:val="000000"/>
          <w:sz w:val="22"/>
        </w:rPr>
        <w:t xml:space="preserve">In the event an applicant files a timely district court action following service of an attorney general notice pursuant to Iowa Code sections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the attorney general shall continue with the intended action described in the notice upon the receipt of a court order lifting the stay, dismissing the action, or otherwise directing the attorney general to proceed. For purposes of determining the effective date of denial of the issuance of a registration permit, the attorney general shall count the number of days before the action was filed and the number of days after the action was disposed of by the court. </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13C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11/12/96, Notice 8/28/96—published 12/4/96, effective 1/8/97]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C.2.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13C.2.pdf" Type="http://schemas.openxmlformats.org/officeDocument/2006/relationships/hyperlink" Id="rId7"/>
    <Relationship TargetMode="External" Target="https://www.legis.iowa.gov/docs/ico/chapter/252J.8.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52J.9.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52J.9.pdf" Type="http://schemas.openxmlformats.org/officeDocument/2006/relationships/hyperlink" Id="rId12"/>
    <Relationship TargetMode="External" Target="https://www.legis.iowa.gov/docs/ico/chapter/13C.pdf" Type="http://schemas.openxmlformats.org/officeDocument/2006/relationships/hyperlink" Id="rId13"/>
    <Relationship TargetMode="External" Target="https://www.legis.iowa.gov/docs/ico/chapter/252J.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