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FLOOD MITIGATION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605—14.1</w:t>
      </w:r>
      <w:r>
        <w:rPr>
          <w:rFonts w:ascii="Times New Roman" w:hAnsi="Times New Roman"/>
          <w:b/>
          <w:i w:val="false"/>
          <w:color w:val="000000"/>
          <w:sz w:val="22"/>
        </w:rPr>
        <w:t xml:space="preserve">(418)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In accordance with Iowa Code section </w:t>
      </w:r>
      <w:hyperlink r:id="rId5">
        <w:r>
          <w:rPr>
            <w:rStyle w:val="Hyperlink"/>
            <w:rFonts w:ascii="Times New Roman" w:hAnsi="Times New Roman"/>
            <w:b w:val="false"/>
            <w:i w:val="false"/>
            <w:color w:val="000000"/>
            <w:sz w:val="22"/>
          </w:rPr>
          <w:t>418.7</w:t>
        </w:r>
      </w:hyperlink>
      <w:r>
        <w:rPr>
          <w:rFonts w:ascii="Times New Roman" w:hAnsi="Times New Roman"/>
          <w:b w:val="false"/>
          <w:i w:val="false"/>
          <w:color w:val="000000"/>
          <w:sz w:val="22"/>
        </w:rPr>
        <w:t xml:space="preserve">, the flood mitigation board establishes the policies and procedures for the creation and administration of an Iowa flood mitigation program and all authorized funding sources detailed in Iowa Code chapter </w:t>
      </w:r>
      <w:hyperlink r:id="rId6">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and under control of the flood mitigation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605—14.2</w:t>
      </w:r>
      <w:r>
        <w:rPr>
          <w:rFonts w:ascii="Times New Roman" w:hAnsi="Times New Roman"/>
          <w:b/>
          <w:i w:val="false"/>
          <w:color w:val="000000"/>
          <w:sz w:val="22"/>
        </w:rPr>
        <w:t xml:space="preserve">(418)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flood mitigation board as created in Iowa Code section </w:t>
      </w:r>
      <w:hyperlink r:id="rId7">
        <w:r>
          <w:rPr>
            <w:rStyle w:val="Hyperlink"/>
            <w:rFonts w:ascii="Times New Roman" w:hAnsi="Times New Roman"/>
            <w:b w:val="false"/>
            <w:i w:val="false"/>
            <w:color w:val="000000"/>
            <w:sz w:val="22"/>
          </w:rPr>
          <w:t>418.5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605—14.3</w:t>
      </w:r>
      <w:r>
        <w:rPr>
          <w:rFonts w:ascii="Times New Roman" w:hAnsi="Times New Roman"/>
          <w:b/>
          <w:i w:val="false"/>
          <w:color w:val="000000"/>
          <w:sz w:val="22"/>
        </w:rPr>
        <w:t xml:space="preserve">(418) </w:t>
      </w:r>
      <w:r>
        <w:rPr>
          <w:rFonts w:ascii="Times New Roman" w:hAnsi="Times New Roman"/>
          <w:b/>
          <w:i w:val="false"/>
          <w:color w:val="000000"/>
          <w:sz w:val="22"/>
        </w:rPr>
        <w:t xml:space="preserve">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The board is established and housed, for administrative purposes, within the department. The director may provide office space, staff assistance, supplies and equipment, and budget funds to pay the necessary expenses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be established and composed pursuant to Iowa Code section </w:t>
      </w:r>
      <w:hyperlink r:id="rId13">
        <w:r>
          <w:rPr>
            <w:rStyle w:val="Hyperlink"/>
            <w:rFonts w:ascii="Times New Roman" w:hAnsi="Times New Roman"/>
            <w:b w:val="false"/>
            <w:i w:val="false"/>
            <w:color w:val="000000"/>
            <w:sz w:val="22"/>
          </w:rPr>
          <w:t>418.5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The board shall meet at a time and place determined by the board. Additional meetings may be called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Vice chairperson,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of the board are public meetings and shall be conducted in accordance with Iowa Code chapter </w:t>
      </w:r>
      <w:hyperlink r:id="rId1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605—14.4</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mitigation 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is a governmental entity as defined in rule </w:t>
      </w:r>
      <w:hyperlink r:id="rId15">
        <w:r>
          <w:rPr>
            <w:rStyle w:val="Hyperlink"/>
            <w:rFonts w:ascii="Times New Roman" w:hAnsi="Times New Roman"/>
            <w:b w:val="false"/>
            <w:i w:val="false"/>
            <w:color w:val="000000"/>
            <w:sz w:val="22"/>
          </w:rPr>
          <w:t>605—14.2</w:t>
        </w:r>
      </w:hyperlink>
      <w:r>
        <w:rPr>
          <w:rFonts w:ascii="Times New Roman" w:hAnsi="Times New Roman"/>
          <w:b w:val="false"/>
          <w:i w:val="false"/>
          <w:color w:val="000000"/>
          <w:sz w:val="22"/>
        </w:rPr>
        <w:t>(418).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project types include those defined as “project” in Iowa Code section </w:t>
      </w:r>
      <w:hyperlink r:id="rId16">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605—14.5</w:t>
      </w:r>
      <w:r>
        <w:rPr>
          <w:rFonts w:ascii="Times New Roman" w:hAnsi="Times New Roman"/>
          <w:b/>
          <w:i w:val="false"/>
          <w:color w:val="000000"/>
          <w:sz w:val="22"/>
        </w:rPr>
        <w:t xml:space="preserve">(418)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The board will prescribe the form of the applications, instructions and associated documents. In addition to requirements for applications and project plans detailed in Iowa Code section </w:t>
      </w:r>
      <w:hyperlink r:id="rId17">
        <w:r>
          <w:rPr>
            <w:rStyle w:val="Hyperlink"/>
            <w:rFonts w:ascii="Times New Roman" w:hAnsi="Times New Roman"/>
            <w:b w:val="false"/>
            <w:i w:val="false"/>
            <w:color w:val="000000"/>
            <w:sz w:val="22"/>
          </w:rPr>
          <w:t>418.9</w:t>
        </w:r>
      </w:hyperlink>
      <w:r>
        <w:rPr>
          <w:rFonts w:ascii="Times New Roman" w:hAnsi="Times New Roman"/>
          <w:b w:val="false"/>
          <w:i w:val="false"/>
          <w:color w:val="000000"/>
          <w:sz w:val="22"/>
        </w:rPr>
        <w:t xml:space="preserve">, applications, requirements, instructions, programmatic guidance, and forms are available through the department and its website, </w:t>
      </w:r>
      <w:hyperlink r:id="rId18">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605—14.6</w:t>
      </w:r>
      <w:r>
        <w:rPr>
          <w:rFonts w:ascii="Times New Roman" w:hAnsi="Times New Roman"/>
          <w:b/>
          <w:i w:val="false"/>
          <w:color w:val="000000"/>
          <w:sz w:val="22"/>
        </w:rPr>
        <w:t xml:space="preserve">(418) </w:t>
      </w:r>
      <w:r>
        <w:rPr>
          <w:rFonts w:ascii="Times New Roman" w:hAnsi="Times New Roman"/>
          <w:b/>
          <w:i w:val="false"/>
          <w:color w:val="000000"/>
          <w:sz w:val="22"/>
        </w:rPr>
        <w:t xml:space="preserve">Sales tax increment calculation and sales tax increment fund. </w:t>
      </w:r>
      <w:r>
        <w:rPr>
          <w:rFonts w:ascii="Times New Roman" w:hAnsi="Times New Roman"/>
          <w:b w:val="false"/>
          <w:i w:val="false"/>
          <w:color w:val="000000"/>
          <w:sz w:val="22"/>
        </w:rPr>
        <w:t xml:space="preserve">The calculation of the sales tax increment and operation of the fund is addressed in </w:t>
      </w:r>
      <w:hyperlink r:id="rId19">
        <w:r>
          <w:rPr>
            <w:rStyle w:val="Hyperlink"/>
            <w:rFonts w:ascii="Times New Roman" w:hAnsi="Times New Roman"/>
            <w:b w:val="false"/>
            <w:i w:val="false"/>
            <w:color w:val="000000"/>
            <w:sz w:val="22"/>
          </w:rPr>
          <w:t>701—Chapter 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605—14.7</w:t>
      </w:r>
      <w:r>
        <w:rPr>
          <w:rFonts w:ascii="Times New Roman" w:hAnsi="Times New Roman"/>
          <w:b/>
          <w:i w:val="false"/>
          <w:color w:val="000000"/>
          <w:sz w:val="22"/>
        </w:rPr>
        <w:t xml:space="preserve">(418)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Following the approval of a project application, the governmental entity shall, on or before December 15 of each year, submit a report to the board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expenditures and types of expenditures that have been made related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total project cost remaining as of the date the report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amounts, types, and sources of funding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bonds issued or other indebtedness incurred for the project, including information related to the rate of interest, length of term, cost of issuance, and net proceeds. This report will also include the amounts and types of moneys used for payment of such bonds or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The treasurer of state shall report to the department any moneys that are disbursed to a recipient of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Any governmental entity that receives assistance in the form of sales tax revenues under the program shall provide to the board all reports that are mandated as part of receiving federal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1114C</w:t>
      </w:r>
      <w:r>
        <w:rPr>
          <w:rFonts w:ascii="Times New Roman" w:hAnsi="Times New Roman"/>
          <w:b w:val="false"/>
          <w:i w:val="false"/>
          <w:color w:val="000000"/>
          <w:sz w:val="21"/>
        </w:rPr>
        <w:t xml:space="preserve"> (Notice ARC 0956C,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2220C</w:t>
      </w:r>
      <w:r>
        <w:rPr>
          <w:rFonts w:ascii="Times New Roman" w:hAnsi="Times New Roman"/>
          <w:b w:val="false"/>
          <w:i w:val="false"/>
          <w:color w:val="000000"/>
          <w:sz w:val="21"/>
        </w:rPr>
        <w:t xml:space="preserve"> (Notice ARC 2119C, IAB 9/2/15)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4410C</w:t>
      </w:r>
      <w:r>
        <w:rPr>
          <w:rFonts w:ascii="Times New Roman" w:hAnsi="Times New Roman"/>
          <w:b w:val="false"/>
          <w:i w:val="false"/>
          <w:color w:val="000000"/>
          <w:sz w:val="21"/>
        </w:rPr>
        <w:t xml:space="preserve"> (Notice ARC 4314C,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Emergency ARC 4499C, IAB 6/19/19, effective 5/22/19]</w:t>
      </w:r>
    </w:p>
    <w:p>
      <w:pPr>
        <w:spacing w:before="0" w:after="0"/>
        <w:ind w:left="120"/>
        <w:jc w:val="center"/>
      </w:pPr>
      <w:r>
        <w:rPr>
          <w:rFonts w:ascii="Times New Roman" w:hAnsi="Times New Roman"/>
          <w:b w:val="false"/>
          <w:i w:val="false"/>
          <w:color w:val="000000"/>
          <w:sz w:val="21"/>
        </w:rPr>
        <w:t>[Filed ARC 4638C</w:t>
      </w:r>
      <w:r>
        <w:rPr>
          <w:rFonts w:ascii="Times New Roman" w:hAnsi="Times New Roman"/>
          <w:b w:val="false"/>
          <w:i w:val="false"/>
          <w:color w:val="000000"/>
          <w:sz w:val="21"/>
        </w:rPr>
        <w:t xml:space="preserve"> (Notice ARC 4498C,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9613C</w:t>
      </w:r>
      <w:r>
        <w:rPr>
          <w:rFonts w:ascii="Times New Roman" w:hAnsi="Times New Roman"/>
          <w:b w:val="false"/>
          <w:i w:val="false"/>
          <w:color w:val="000000"/>
          <w:sz w:val="21"/>
        </w:rPr>
        <w:t xml:space="preserve"> (Notice ARC 9485C, IAB 8/20/25)</w:t>
      </w:r>
      <w:r>
        <w:rPr>
          <w:rFonts w:ascii="Times New Roman" w:hAnsi="Times New Roman"/>
          <w:b w:val="false"/>
          <w:i w:val="false"/>
          <w:color w:val="000000"/>
          <w:sz w:val="21"/>
        </w:rPr>
        <w:t>, IAB 10/15/25, effective 11/19/25]</w:t>
      </w:r>
    </w:p>
    <w:sectPr>
      <w:footerReference r:id="rId2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18.7.pdf" Type="http://schemas.openxmlformats.org/officeDocument/2006/relationships/hyperlink" Id="rId5"/>
    <Relationship TargetMode="External" Target="https://www.legis.iowa.gov/docs/ico/chapter/418.pdf" Type="http://schemas.openxmlformats.org/officeDocument/2006/relationships/hyperlink" Id="rId6"/>
    <Relationship TargetMode="External" Target="https://www.legis.iowa.gov/docs/ico/chapter/418.5.pdf" Type="http://schemas.openxmlformats.org/officeDocument/2006/relationships/hyperlink" Id="rId7"/>
    <Relationship TargetMode="External" Target="https://www.legis.iowa.gov/docs/ico/chapter/418.1.pdf" Type="http://schemas.openxmlformats.org/officeDocument/2006/relationships/hyperlink" Id="rId8"/>
    <Relationship TargetMode="External" Target="https://www.legis.iowa.gov/docs/ico/chapter/29C.2.pdf" Type="http://schemas.openxmlformats.org/officeDocument/2006/relationships/hyperlink" Id="rId9"/>
    <Relationship TargetMode="External" Target="https://www.legis.iowa.gov/docs/ico/chapter/418.1.pdf" Type="http://schemas.openxmlformats.org/officeDocument/2006/relationships/hyperlink" Id="rId10"/>
    <Relationship TargetMode="External" Target="https://www.legis.iowa.gov/docs/ico/chapter/418.1.pdf" Type="http://schemas.openxmlformats.org/officeDocument/2006/relationships/hyperlink" Id="rId11"/>
    <Relationship TargetMode="External" Target="https://www.legis.iowa.gov/docs/ico/chapter/418.1.pdf" Type="http://schemas.openxmlformats.org/officeDocument/2006/relationships/hyperlink" Id="rId12"/>
    <Relationship TargetMode="External" Target="https://www.legis.iowa.gov/docs/ico/chapter/418.5.pdf" Type="http://schemas.openxmlformats.org/officeDocument/2006/relationships/hyperlink" Id="rId13"/>
    <Relationship TargetMode="External" Target="https://www.legis.iowa.gov/docs/ico/chapter/21.pdf" Type="http://schemas.openxmlformats.org/officeDocument/2006/relationships/hyperlink" Id="rId14"/>
    <Relationship TargetMode="External" Target="https://www.legis.iowa.gov/docs/iac/rule/605.14.2.pdf" Type="http://schemas.openxmlformats.org/officeDocument/2006/relationships/hyperlink" Id="rId15"/>
    <Relationship TargetMode="External" Target="https://www.legis.iowa.gov/docs/ico/chapter/418.1.pdf" Type="http://schemas.openxmlformats.org/officeDocument/2006/relationships/hyperlink" Id="rId16"/>
    <Relationship TargetMode="External" Target="https://www.legis.iowa.gov/docs/ico/chapter/418.9.pdf" Type="http://schemas.openxmlformats.org/officeDocument/2006/relationships/hyperlink" Id="rId17"/>
    <Relationship TargetMode="External" Target="http://homelandsecurity.iowa.gov" Type="http://schemas.openxmlformats.org/officeDocument/2006/relationships/hyperlink" Id="rId18"/>
    <Relationship TargetMode="External" Target="https://www.legis.iowa.gov/docs/iac/chapter/701.272.pdf" Type="http://schemas.openxmlformats.org/officeDocument/2006/relationships/hyperlink" Id="rId19"/>
    <Relationship TargetMode="External" Target="https://www.legis.iowa.gov/docs/ico/chapter/418.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