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SCHOOL SAFETY</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APPROVED WEAPON DETECTION SECURITY EQUIPMENT</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This division implements a program to develop a list of allowable school safety equipment.  The equipment in this division is specific to unholstered weapons detection capabilities within a school building or on school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605—13.1</w:t>
      </w:r>
      <w:r>
        <w:rPr>
          <w:rFonts w:ascii="Times New Roman" w:hAnsi="Times New Roman"/>
          <w:b/>
          <w:i w:val="false"/>
          <w:color w:val="000000"/>
          <w:sz w:val="22"/>
        </w:rPr>
        <w:t xml:space="preserve">(90GA,HF2652) </w:t>
      </w:r>
      <w:r>
        <w:rPr>
          <w:rFonts w:ascii="Times New Roman" w:hAnsi="Times New Roman"/>
          <w:b/>
          <w:i w:val="false"/>
          <w:color w:val="000000"/>
          <w:sz w:val="22"/>
        </w:rPr>
        <w:t xml:space="preserve">Program implementation.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produce and post a list of vendors and products on the department’s website meeting the criteria in rule </w:t>
      </w:r>
      <w:hyperlink r:id="rId5">
        <w:r>
          <w:rPr>
            <w:rStyle w:val="Hyperlink"/>
            <w:rFonts w:ascii="Times New Roman" w:hAnsi="Times New Roman"/>
            <w:b w:val="false"/>
            <w:i w:val="false"/>
            <w:color w:val="000000"/>
            <w:sz w:val="22"/>
          </w:rPr>
          <w:t>605—13.2</w:t>
        </w:r>
      </w:hyperlink>
      <w:r>
        <w:rPr>
          <w:rFonts w:ascii="Times New Roman" w:hAnsi="Times New Roman"/>
          <w:b w:val="false"/>
          <w:i w:val="false"/>
          <w:color w:val="000000"/>
          <w:sz w:val="22"/>
        </w:rPr>
        <w:t>(90GA,HF2652).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initial list will be established through an application form posted on the department’s website at </w:t>
      </w:r>
      <w:hyperlink r:id="rId6">
        <w:r>
          <w:rPr>
            <w:rStyle w:val="Hyperlink"/>
            <w:rFonts w:ascii="Times New Roman" w:hAnsi="Times New Roman"/>
            <w:b w:val="false"/>
            <w:i w:val="false"/>
            <w:color w:val="000000"/>
            <w:sz w:val="22"/>
            <w:u w:val="single"/>
          </w:rPr>
          <w:t>homelandsecurity.iowa.gov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w:t>
      </w:r>
      <w:r>
        <w:rPr>
          <w:rFonts w:ascii="Times New Roman" w:hAnsi="Times New Roman"/>
          <w:b w:val="false"/>
          <w:i w:val="false"/>
          <w:color w:val="000000"/>
          <w:sz w:val="22"/>
        </w:rPr>
        <w:t> </w:t>
      </w:r>
      <w:r>
        <w:rPr>
          <w:rFonts w:ascii="Times New Roman" w:hAnsi="Times New Roman"/>
          <w:b w:val="false"/>
          <w:i w:val="false"/>
          <w:color w:val="000000"/>
          <w:sz w:val="22"/>
        </w:rPr>
        <w:t>Vendors wishing to be added to the list at any time may submit the application found on the department’s website for consideration and inclusion on the department’s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w:t>
      </w:r>
      <w:r>
        <w:rPr>
          <w:rFonts w:ascii="Times New Roman" w:hAnsi="Times New Roman"/>
          <w:b w:val="false"/>
          <w:i w:val="false"/>
          <w:color w:val="000000"/>
          <w:sz w:val="22"/>
        </w:rPr>
        <w:t> </w:t>
      </w:r>
      <w:r>
        <w:rPr>
          <w:rFonts w:ascii="Times New Roman" w:hAnsi="Times New Roman"/>
          <w:b w:val="false"/>
          <w:i w:val="false"/>
          <w:color w:val="000000"/>
          <w:sz w:val="22"/>
        </w:rPr>
        <w:t xml:space="preserve"> Transitional compliance and retroactive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district or accredited nonpublic school that purchased an unholstered weapons detection system after May 17, 2024, but prior to the department’s first publication of the approved organization list, shall be deemed in compliance with Iowa Code section </w:t>
      </w:r>
      <w:hyperlink r:id="rId7">
        <w:r>
          <w:rPr>
            <w:rStyle w:val="Hyperlink"/>
            <w:rFonts w:ascii="Times New Roman" w:hAnsi="Times New Roman"/>
            <w:b w:val="false"/>
            <w:i w:val="false"/>
            <w:color w:val="000000"/>
            <w:sz w:val="22"/>
          </w:rPr>
          <w:t>279.86</w:t>
        </w:r>
      </w:hyperlink>
      <w:r>
        <w:rPr>
          <w:rFonts w:ascii="Times New Roman" w:hAnsi="Times New Roman"/>
          <w:b w:val="false"/>
          <w:i w:val="false"/>
          <w:color w:val="000000"/>
          <w:sz w:val="22"/>
        </w:rPr>
        <w:t xml:space="preserve"> and this chapter,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The organization and product are subsequently added to the approved list;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The school provides documentation to the department demonstrating that the organization and product met the eligibility criteria in rule </w:t>
      </w:r>
      <w:hyperlink r:id="rId8">
        <w:r>
          <w:rPr>
            <w:rStyle w:val="Hyperlink"/>
            <w:rFonts w:ascii="Times New Roman" w:hAnsi="Times New Roman"/>
            <w:b w:val="false"/>
            <w:i w:val="false"/>
            <w:color w:val="000000"/>
            <w:sz w:val="22"/>
          </w:rPr>
          <w:t>605—13.2</w:t>
        </w:r>
      </w:hyperlink>
      <w:r>
        <w:rPr>
          <w:rFonts w:ascii="Times New Roman" w:hAnsi="Times New Roman"/>
          <w:b w:val="false"/>
          <w:i w:val="false"/>
          <w:color w:val="000000"/>
          <w:sz w:val="22"/>
        </w:rPr>
        <w:t xml:space="preserve">(90GA,HF2652) at the time of purchase.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Systems approved under this subrule may continue to be used and maintained for the duration of the existing contract or the operational life of the equipment, whichever is shorter, without requiring a new procurement from the approved list.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i w:val="false"/>
          <w:color w:val="000000"/>
          <w:sz w:val="16"/>
        </w:rPr>
        <w:t>ARC 0395D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605—13.2</w:t>
      </w:r>
      <w:r>
        <w:rPr>
          <w:rFonts w:ascii="Times New Roman" w:hAnsi="Times New Roman"/>
          <w:b/>
          <w:i w:val="false"/>
          <w:color w:val="000000"/>
          <w:sz w:val="22"/>
        </w:rPr>
        <w:t xml:space="preserve">(90GA,HF2652) </w:t>
      </w:r>
      <w:r>
        <w:rPr>
          <w:rFonts w:ascii="Times New Roman" w:hAnsi="Times New Roman"/>
          <w:b/>
          <w:i w:val="false"/>
          <w:color w:val="000000"/>
          <w:sz w:val="22"/>
        </w:rPr>
        <w:t xml:space="preserve">Eligibility criteria. </w:t>
      </w:r>
      <w:r>
        <w:rPr>
          <w:rFonts w:ascii="Times New Roman" w:hAnsi="Times New Roman"/>
          <w:b w:val="false"/>
          <w:i w:val="false"/>
          <w:color w:val="000000"/>
          <w:sz w:val="22"/>
        </w:rPr>
        <w:t>Eligibility for vendors and products to appear on the list will be in accordance with appropriate state and federal laws and regulations,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val="false"/>
          <w:color w:val="000000"/>
          <w:sz w:val="22"/>
        </w:rPr>
        <w:t>Security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9">
        <w:r>
          <w:rPr>
            <w:rStyle w:val="Hyperlink"/>
            <w:rFonts w:ascii="Times New Roman" w:hAnsi="Times New Roman"/>
            <w:b w:val="false"/>
            <w:i w:val="false"/>
            <w:color w:val="000000"/>
            <w:sz w:val="22"/>
          </w:rPr>
          <w:t>423F.3(6)</w:t>
        </w:r>
      </w:hyperlink>
      <w:r>
        <w:rPr>
          <w:rFonts w:ascii="Times New Roman" w:hAnsi="Times New Roman"/>
          <w:b w:val="false"/>
          <w:i/>
          <w:color w:val="000000"/>
          <w:sz w:val="22"/>
        </w:rPr>
        <w:t>“a”</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Vendors identified as prohibited companies by a federal acquisition regulation, or other memorandum, are excluded from use. Excluded vendors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Federal Acquisition Regulation (FAR) 52.204-24 as amended through September 2024—representation regarding certain telecommunications and video surveillance services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FAR 52.204-25 as amended through September 2024—prohibition on contracting for certain telecommunications and video surveillance services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Section 889(a)(1)(A) of the John S. McCain National Defense Authorization Act for Fiscal Year 2019.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Self-certification of provisions within Iowa Code section </w:t>
      </w:r>
      <w:hyperlink r:id="rId10">
        <w:r>
          <w:rPr>
            <w:rStyle w:val="Hyperlink"/>
            <w:rFonts w:ascii="Times New Roman" w:hAnsi="Times New Roman"/>
            <w:b w:val="false"/>
            <w:i w:val="false"/>
            <w:color w:val="000000"/>
            <w:sz w:val="22"/>
          </w:rPr>
          <w:t>423F.3(6)</w:t>
        </w:r>
      </w:hyperlink>
      <w:r>
        <w:rPr>
          <w:rFonts w:ascii="Times New Roman" w:hAnsi="Times New Roman"/>
          <w:b w:val="false"/>
          <w:i/>
          <w:color w:val="000000"/>
          <w:sz w:val="22"/>
        </w:rPr>
        <w:t>“a”</w:t>
      </w:r>
      <w:r>
        <w:rPr>
          <w:rFonts w:ascii="Times New Roman" w:hAnsi="Times New Roman"/>
          <w:b w:val="false"/>
          <w:i w:val="false"/>
          <w:color w:val="000000"/>
          <w:sz w:val="22"/>
        </w:rPr>
        <w:t xml:space="preserve">(5)(a) and rule </w:t>
      </w:r>
      <w:hyperlink r:id="rId11">
        <w:r>
          <w:rPr>
            <w:rStyle w:val="Hyperlink"/>
            <w:rFonts w:ascii="Times New Roman" w:hAnsi="Times New Roman"/>
            <w:b w:val="false"/>
            <w:i w:val="false"/>
            <w:color w:val="000000"/>
            <w:sz w:val="22"/>
          </w:rPr>
          <w:t>605—13.2</w:t>
        </w:r>
      </w:hyperlink>
      <w:r>
        <w:rPr>
          <w:rFonts w:ascii="Times New Roman" w:hAnsi="Times New Roman"/>
          <w:b w:val="false"/>
          <w:i w:val="false"/>
          <w:color w:val="000000"/>
          <w:sz w:val="22"/>
        </w:rPr>
        <w:t>(90GA,HF2652), subject to review and confirmation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criteria in addition to those in Iowa Code section </w:t>
      </w:r>
      <w:hyperlink r:id="rId12">
        <w:r>
          <w:rPr>
            <w:rStyle w:val="Hyperlink"/>
            <w:rFonts w:ascii="Times New Roman" w:hAnsi="Times New Roman"/>
            <w:b w:val="false"/>
            <w:i w:val="false"/>
            <w:color w:val="000000"/>
            <w:sz w:val="22"/>
          </w:rPr>
          <w:t>423F.3(6)</w:t>
        </w:r>
      </w:hyperlink>
      <w:r>
        <w:rPr>
          <w:rFonts w:ascii="Times New Roman" w:hAnsi="Times New Roman"/>
          <w:b w:val="false"/>
          <w:i/>
          <w:color w:val="000000"/>
          <w:sz w:val="22"/>
        </w:rPr>
        <w:t>“a”</w:t>
      </w:r>
      <w:r>
        <w:rPr>
          <w:rFonts w:ascii="Times New Roman" w:hAnsi="Times New Roman"/>
          <w:b w:val="false"/>
          <w:i w:val="false"/>
          <w:color w:val="000000"/>
          <w:sz w:val="22"/>
        </w:rPr>
        <w:t xml:space="preserve">(5)(i) through </w:t>
      </w:r>
      <w:hyperlink r:id="rId13">
        <w:r>
          <w:rPr>
            <w:rStyle w:val="Hyperlink"/>
            <w:rFonts w:ascii="Times New Roman" w:hAnsi="Times New Roman"/>
            <w:b w:val="false"/>
            <w:i w:val="false"/>
            <w:color w:val="000000"/>
            <w:sz w:val="22"/>
          </w:rPr>
          <w:t>423F.3(6)</w:t>
        </w:r>
      </w:hyperlink>
      <w:r>
        <w:rPr>
          <w:rFonts w:ascii="Times New Roman" w:hAnsi="Times New Roman"/>
          <w:b w:val="false"/>
          <w:i/>
          <w:color w:val="000000"/>
          <w:sz w:val="22"/>
        </w:rPr>
        <w:t>“a”</w:t>
      </w:r>
      <w:r>
        <w:rPr>
          <w:rFonts w:ascii="Times New Roman" w:hAnsi="Times New Roman"/>
          <w:b w:val="false"/>
          <w:i w:val="false"/>
          <w:color w:val="000000"/>
          <w:sz w:val="22"/>
        </w:rPr>
        <w:t>(5)(ix).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vendor is experienced in deploying and maintaining similar types of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system is capable of integrating with existing security cameras (monitoring and alerting)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system has the ability to process input in real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computer/mobile device user interface is intuitive and easy to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vendor provides full implementation and user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the transitional exception in subrule </w:t>
      </w:r>
      <w:hyperlink r:id="rId14">
        <w:r>
          <w:rPr>
            <w:rStyle w:val="Hyperlink"/>
            <w:rFonts w:ascii="Times New Roman" w:hAnsi="Times New Roman"/>
            <w:b w:val="false"/>
            <w:i w:val="false"/>
            <w:color w:val="000000"/>
            <w:sz w:val="22"/>
          </w:rPr>
          <w:t>13.1(4)</w:t>
        </w:r>
      </w:hyperlink>
      <w:r>
        <w:rPr>
          <w:rFonts w:ascii="Times New Roman" w:hAnsi="Times New Roman"/>
          <w:b w:val="false"/>
          <w:i w:val="false"/>
          <w:color w:val="000000"/>
          <w:sz w:val="22"/>
        </w:rPr>
        <w:t>, the department may evaluate an organization’s qualification based on the technical specifications and security standards in place at the time of the school’s initial procurement.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i w:val="false"/>
          <w:color w:val="000000"/>
          <w:sz w:val="16"/>
        </w:rPr>
        <w:t>ARC 0395D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605—13.3</w:t>
      </w:r>
      <w:r>
        <w:rPr>
          <w:rFonts w:ascii="Times New Roman" w:hAnsi="Times New Roman"/>
          <w:b/>
          <w:i w:val="false"/>
          <w:color w:val="000000"/>
          <w:sz w:val="22"/>
        </w:rPr>
        <w:t xml:space="preserve">(90GA,HF2652) </w:t>
      </w:r>
      <w:r>
        <w:rPr>
          <w:rFonts w:ascii="Times New Roman" w:hAnsi="Times New Roman"/>
          <w:b/>
          <w:i w:val="false"/>
          <w:color w:val="000000"/>
          <w:sz w:val="22"/>
        </w:rPr>
        <w:t xml:space="preserve">System security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color w:val="000000"/>
          <w:sz w:val="22"/>
        </w:rPr>
        <w:t xml:space="preserve">Transmission.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Ownership of video associated with the instance of an unholstered weapon is the sole property of the school district that purchased and installed the software.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for duplication or transmission of an incident by the prosecuting attorney or appropriate law enforcement will be complied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decision to transmit to outside sources will be made by the school district with the concurrence of the prosecuting attorney or appropriate law enforcement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color w:val="000000"/>
          <w:sz w:val="22"/>
        </w:rPr>
        <w:t xml:space="preserve">Encryption. </w:t>
      </w:r>
      <w:r>
        <w:rPr>
          <w:rFonts w:ascii="Times New Roman" w:hAnsi="Times New Roman"/>
          <w:b w:val="false"/>
          <w:i w:val="false"/>
          <w:color w:val="000000"/>
          <w:sz w:val="22"/>
        </w:rPr>
        <w:t>Data collected by the system, including video, is encrypted in transit and at rest. Transport Layer Security (TLS) 1.2 or higher will be used for encryption in transit.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color w:val="000000"/>
          <w:sz w:val="22"/>
        </w:rPr>
        <w:t xml:space="preserve">Authentication. </w:t>
      </w:r>
      <w:r>
        <w:rPr>
          <w:rFonts w:ascii="Times New Roman" w:hAnsi="Times New Roman"/>
          <w:b w:val="false"/>
          <w:i w:val="false"/>
          <w:color w:val="000000"/>
          <w:sz w:val="22"/>
        </w:rPr>
        <w:t>Multifactor authentication (MFA) is implemented for administrative access to the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w:t>
      </w:r>
      <w:r>
        <w:rPr>
          <w:rFonts w:ascii="Times New Roman" w:hAnsi="Times New Roman"/>
          <w:b w:val="false"/>
          <w:i w:val="false"/>
          <w:color w:val="000000"/>
          <w:sz w:val="22"/>
        </w:rPr>
        <w:t> </w:t>
      </w:r>
      <w:r>
        <w:rPr>
          <w:rFonts w:ascii="Times New Roman" w:hAnsi="Times New Roman"/>
          <w:b w:val="false"/>
          <w:i/>
          <w:color w:val="000000"/>
          <w:sz w:val="22"/>
        </w:rPr>
        <w:t xml:space="preserve">Privacy. </w:t>
      </w:r>
      <w:r>
        <w:rPr>
          <w:rFonts w:ascii="Times New Roman" w:hAnsi="Times New Roman"/>
          <w:b w:val="false"/>
          <w:i w:val="false"/>
          <w:color w:val="000000"/>
          <w:sz w:val="22"/>
        </w:rPr>
        <w:t xml:space="preserve">Personally identifiable information, including student images, is not streamed live or stored with the vendor with the exception of rule </w:t>
      </w:r>
      <w:hyperlink r:id="rId15">
        <w:r>
          <w:rPr>
            <w:rStyle w:val="Hyperlink"/>
            <w:rFonts w:ascii="Times New Roman" w:hAnsi="Times New Roman"/>
            <w:b w:val="false"/>
            <w:i w:val="false"/>
            <w:color w:val="000000"/>
            <w:sz w:val="22"/>
          </w:rPr>
          <w:t>605—13.4</w:t>
        </w:r>
      </w:hyperlink>
      <w:r>
        <w:rPr>
          <w:rFonts w:ascii="Times New Roman" w:hAnsi="Times New Roman"/>
          <w:b w:val="false"/>
          <w:i w:val="false"/>
          <w:color w:val="000000"/>
          <w:sz w:val="22"/>
        </w:rPr>
        <w:t>(90GA,HF2652).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13.3(5)</w:t>
      </w:r>
      <w:r>
        <w:rPr>
          <w:rFonts w:ascii="Times New Roman" w:hAnsi="Times New Roman"/>
          <w:b w:val="false"/>
          <w:i w:val="false"/>
          <w:color w:val="000000"/>
          <w:sz w:val="22"/>
        </w:rPr>
        <w:t> </w:t>
      </w:r>
      <w:r>
        <w:rPr>
          <w:rFonts w:ascii="Times New Roman" w:hAnsi="Times New Roman"/>
          <w:b w:val="false"/>
          <w:i/>
          <w:color w:val="000000"/>
          <w:sz w:val="22"/>
        </w:rPr>
        <w:t xml:space="preserve">Storage. </w:t>
      </w:r>
      <w:r>
        <w:rPr>
          <w:rFonts w:ascii="Times New Roman" w:hAnsi="Times New Roman"/>
          <w:b w:val="false"/>
          <w:i w:val="false"/>
          <w:color w:val="000000"/>
          <w:sz w:val="22"/>
        </w:rPr>
        <w:t>The system does not process, store, transmit, or allow access to, data from outside the continental United States (OCONUS).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605—13.4</w:t>
      </w:r>
      <w:r>
        <w:rPr>
          <w:rFonts w:ascii="Times New Roman" w:hAnsi="Times New Roman"/>
          <w:b/>
          <w:i w:val="false"/>
          <w:color w:val="000000"/>
          <w:sz w:val="22"/>
        </w:rPr>
        <w:t xml:space="preserve">(90GA,HF2652) </w:t>
      </w:r>
      <w:r>
        <w:rPr>
          <w:rFonts w:ascii="Times New Roman" w:hAnsi="Times New Roman"/>
          <w:b/>
          <w:i w:val="false"/>
          <w:color w:val="000000"/>
          <w:sz w:val="22"/>
        </w:rPr>
        <w:t xml:space="preserve">Data retention for storage of video and data. </w:t>
      </w:r>
      <w:r>
        <w:rPr>
          <w:rFonts w:ascii="Times New Roman" w:hAnsi="Times New Roman"/>
          <w:b w:val="false"/>
          <w:i w:val="false"/>
          <w:color w:val="000000"/>
          <w:sz w:val="22"/>
        </w:rPr>
        <w:t>All video and data associated with an instance of a suspected unholstered weapon shall be maintained for 2,555 days and meet all agency retention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605—13.5</w:t>
      </w:r>
      <w:r>
        <w:rPr>
          <w:rFonts w:ascii="Times New Roman" w:hAnsi="Times New Roman"/>
          <w:b w:val="false"/>
          <w:i w:val="false"/>
          <w:color w:val="000000"/>
          <w:sz w:val="22"/>
        </w:rPr>
        <w:t xml:space="preserve"> to </w:t>
      </w:r>
      <w:r>
        <w:rPr>
          <w:rFonts w:ascii="Times New Roman" w:hAnsi="Times New Roman"/>
          <w:b/>
          <w:i w:val="false"/>
          <w:color w:val="000000"/>
          <w:sz w:val="22"/>
        </w:rPr>
        <w:t>13.20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GRANT PROGRAM</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This division implements a grant program to provide grants to applicable school districts.  The grant program is to be used by school districts for purchasing infrastructure and equipment related to employee permits to carry weapons, facilitate training associated with employee permits to carry weapons, and provide stipends to employees who participate in the training associated with employee permits to carry weapons.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605—13.21</w:t>
      </w:r>
      <w:r>
        <w:rPr>
          <w:rFonts w:ascii="Times New Roman" w:hAnsi="Times New Roman"/>
          <w:b/>
          <w:i w:val="false"/>
          <w:color w:val="000000"/>
          <w:sz w:val="22"/>
        </w:rPr>
        <w:t xml:space="preserve">(90GA,HF2652)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“Equipment”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tangible personal property having a useful life of more than one year for the fulfillment of </w:t>
      </w:r>
      <w:r>
        <w:rPr>
          <w:rFonts w:ascii="Times New Roman" w:hAnsi="Times New Roman"/>
          <w:b w:val="false"/>
          <w:i w:val="false"/>
          <w:color w:val="000000"/>
          <w:sz w:val="22"/>
        </w:rPr>
        <w:t>2024 Iowa Acts, House File 2586</w:t>
      </w:r>
      <w:r>
        <w:rPr>
          <w:rFonts w:ascii="Times New Roman" w:hAnsi="Times New Roman"/>
          <w:b w:val="false"/>
          <w:i w:val="false"/>
          <w:color w:val="000000"/>
          <w:sz w:val="22"/>
        </w:rPr>
        <w:t>, section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“Infrastructure”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423F.3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described in Iowa Code section </w:t>
      </w:r>
      <w:hyperlink r:id="rId17">
        <w:r>
          <w:rPr>
            <w:rStyle w:val="Hyperlink"/>
            <w:rFonts w:ascii="Times New Roman" w:hAnsi="Times New Roman"/>
            <w:b w:val="false"/>
            <w:i w:val="false"/>
            <w:color w:val="000000"/>
            <w:sz w:val="22"/>
          </w:rPr>
          <w:t>724.6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605—13.22</w:t>
      </w:r>
      <w:r>
        <w:rPr>
          <w:rFonts w:ascii="Times New Roman" w:hAnsi="Times New Roman"/>
          <w:b/>
          <w:i w:val="false"/>
          <w:color w:val="000000"/>
          <w:sz w:val="22"/>
        </w:rPr>
        <w:t xml:space="preserve">(90GA,HF2652) </w:t>
      </w:r>
      <w:r>
        <w:rPr>
          <w:rFonts w:ascii="Times New Roman" w:hAnsi="Times New Roman"/>
          <w:b/>
          <w:i w:val="false"/>
          <w:color w:val="000000"/>
          <w:sz w:val="22"/>
        </w:rPr>
        <w:t xml:space="preserve">Eligibility criteria. </w:t>
      </w:r>
      <w:r>
        <w:rPr>
          <w:rFonts w:ascii="Times New Roman" w:hAnsi="Times New Roman"/>
          <w:b w:val="false"/>
          <w:i w:val="false"/>
          <w:color w:val="000000"/>
          <w:sz w:val="22"/>
        </w:rPr>
        <w:t xml:space="preserve">Eligible applicants include public school districts, private schools, and institutions of higher education as defined in Iowa Code chapter </w:t>
      </w:r>
      <w:hyperlink r:id="rId18">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605—13.23</w:t>
      </w:r>
      <w:r>
        <w:rPr>
          <w:rFonts w:ascii="Times New Roman" w:hAnsi="Times New Roman"/>
          <w:b/>
          <w:i w:val="false"/>
          <w:color w:val="000000"/>
          <w:sz w:val="22"/>
        </w:rPr>
        <w:t xml:space="preserve">(90GA,HF2652) </w:t>
      </w:r>
      <w:r>
        <w:rPr>
          <w:rFonts w:ascii="Times New Roman" w:hAnsi="Times New Roman"/>
          <w:b/>
          <w:i w:val="false"/>
          <w:color w:val="000000"/>
          <w:sz w:val="22"/>
        </w:rPr>
        <w:t xml:space="preserve">Application process. </w:t>
      </w:r>
      <w:r>
        <w:rPr>
          <w:rFonts w:ascii="Times New Roman" w:hAnsi="Times New Roman"/>
          <w:b w:val="false"/>
          <w:i w:val="false"/>
          <w:color w:val="000000"/>
          <w:sz w:val="22"/>
        </w:rPr>
        <w:t xml:space="preserve">When funding is available, the application for grant funds will be posted on the department’s website at </w:t>
      </w:r>
      <w:hyperlink r:id="rId19">
        <w:r>
          <w:rPr>
            <w:rStyle w:val="Hyperlink"/>
            <w:rFonts w:ascii="Times New Roman" w:hAnsi="Times New Roman"/>
            <w:b w:val="false"/>
            <w:i w:val="false"/>
            <w:color w:val="000000"/>
            <w:sz w:val="22"/>
            <w:u w:val="single"/>
          </w:rPr>
          <w:t>homelandsecurity.iowa.gov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2024 Iowa Acts, House File 2652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8906C</w:t>
      </w:r>
      <w:r>
        <w:rPr>
          <w:rFonts w:ascii="Times New Roman" w:hAnsi="Times New Roman"/>
          <w:b w:val="false"/>
          <w:i w:val="false"/>
          <w:color w:val="000000"/>
          <w:sz w:val="21"/>
        </w:rPr>
        <w:t xml:space="preserve"> (Notice ARC 8579C, IAB 12/25/24)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[Filed ARC 0395D</w:t>
      </w:r>
      <w:r>
        <w:rPr>
          <w:rFonts w:ascii="Times New Roman" w:hAnsi="Times New Roman"/>
          <w:b w:val="false"/>
          <w:i w:val="false"/>
          <w:color w:val="000000"/>
          <w:sz w:val="21"/>
        </w:rPr>
        <w:t xml:space="preserve"> (Notice ARC 0222D, IAB 4/29/26)</w:t>
      </w:r>
      <w:r>
        <w:rPr>
          <w:rFonts w:ascii="Times New Roman" w:hAnsi="Times New Roman"/>
          <w:b w:val="false"/>
          <w:i w:val="false"/>
          <w:color w:val="000000"/>
          <w:sz w:val="21"/>
        </w:rPr>
        <w:t>, IAB 6/24/26, effective 7/29/26]</w:t>
      </w:r>
    </w:p>
    <w:sectPr>
      <w:footerReference r:id="rId2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05.13.2.pdf" Type="http://schemas.openxmlformats.org/officeDocument/2006/relationships/hyperlink" Id="rId5"/>
    <Relationship TargetMode="External" Target="http://homelandsecurity.iowa.gov" Type="http://schemas.openxmlformats.org/officeDocument/2006/relationships/hyperlink" Id="rId6"/>
    <Relationship TargetMode="External" Target="https://www.legis.iowa.gov/docs/ico/chapter/279.86.pdf" Type="http://schemas.openxmlformats.org/officeDocument/2006/relationships/hyperlink" Id="rId7"/>
    <Relationship TargetMode="External" Target="https://www.legis.iowa.gov/docs/iac/rule/605.13.2.pdf" Type="http://schemas.openxmlformats.org/officeDocument/2006/relationships/hyperlink" Id="rId8"/>
    <Relationship TargetMode="External" Target="https://www.legis.iowa.gov/docs/ico/chapter/423F.3.pdf" Type="http://schemas.openxmlformats.org/officeDocument/2006/relationships/hyperlink" Id="rId9"/>
    <Relationship TargetMode="External" Target="https://www.legis.iowa.gov/docs/ico/chapter/423F.3.pdf" Type="http://schemas.openxmlformats.org/officeDocument/2006/relationships/hyperlink" Id="rId10"/>
    <Relationship TargetMode="External" Target="https://www.legis.iowa.gov/docs/iac/rule/605.13.2.pdf" Type="http://schemas.openxmlformats.org/officeDocument/2006/relationships/hyperlink" Id="rId11"/>
    <Relationship TargetMode="External" Target="https://www.legis.iowa.gov/docs/ico/chapter/423F.3.pdf" Type="http://schemas.openxmlformats.org/officeDocument/2006/relationships/hyperlink" Id="rId12"/>
    <Relationship TargetMode="External" Target="https://www.legis.iowa.gov/docs/ico/chapter/423F.3.pdf" Type="http://schemas.openxmlformats.org/officeDocument/2006/relationships/hyperlink" Id="rId13"/>
    <Relationship TargetMode="External" Target="https://www.legis.iowa.gov/docs/iac/rule/605.13.1.pdf" Type="http://schemas.openxmlformats.org/officeDocument/2006/relationships/hyperlink" Id="rId14"/>
    <Relationship TargetMode="External" Target="https://www.legis.iowa.gov/docs/iac/rule/605.13.4.pdf" Type="http://schemas.openxmlformats.org/officeDocument/2006/relationships/hyperlink" Id="rId15"/>
    <Relationship TargetMode="External" Target="https://www.legis.iowa.gov/docs/ico/chapter/423F.3.pdf" Type="http://schemas.openxmlformats.org/officeDocument/2006/relationships/hyperlink" Id="rId16"/>
    <Relationship TargetMode="External" Target="https://www.legis.iowa.gov/docs/ico/chapter/724.6.pdf" Type="http://schemas.openxmlformats.org/officeDocument/2006/relationships/hyperlink" Id="rId17"/>
    <Relationship TargetMode="External" Target="https://www.legis.iowa.gov/docs/ico/chapter/256.pdf" Type="http://schemas.openxmlformats.org/officeDocument/2006/relationships/hyperlink" Id="rId18"/>
    <Relationship TargetMode="External" Target="http://homelandsecurity.iowa.gov"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