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HOMELAND SECURITY AND EMERGENCY RESPONSE TEAMS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605—12.1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The duties of the director of the homeland security and emergency management department include the development and ongoing operation of homeland security and emergency response teams to be deployed by the state to supplement and enhance local resources during times of disaster and emergency. These rules are intended to specify how teams and team members will be designated, minimum standards that shall be maintained, and the use of the teams.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“Governor’s disaster proclamation” </w:t>
      </w:r>
      <w:r>
        <w:rPr>
          <w:rFonts w:ascii="Times New Roman" w:hAnsi="Times New Roman"/>
          <w:b w:val="false"/>
          <w:i w:val="false"/>
          <w:color w:val="000000"/>
          <w:sz w:val="22"/>
        </w:rPr>
        <w:t xml:space="preserve">means the proclamation of disaster emergency issued by the governor in accordance with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“Homeland security advisory committee” </w:t>
      </w:r>
      <w:r>
        <w:rPr>
          <w:rFonts w:ascii="Times New Roman" w:hAnsi="Times New Roman"/>
          <w:b w:val="false"/>
          <w:i w:val="false"/>
          <w:color w:val="000000"/>
          <w:sz w:val="22"/>
        </w:rPr>
        <w:t>means the advisory committee created by the director for the purpose of providing advice on public safety response issues within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605—12.3</w:t>
      </w:r>
      <w:r>
        <w:rPr>
          <w:rFonts w:ascii="Times New Roman" w:hAnsi="Times New Roman"/>
          <w:b/>
          <w:i w:val="false"/>
          <w:color w:val="000000"/>
          <w:sz w:val="22"/>
        </w:rPr>
        <w:t xml:space="preserve">(29C) </w:t>
      </w:r>
      <w:r>
        <w:rPr>
          <w:rFonts w:ascii="Times New Roman" w:hAnsi="Times New Roman"/>
          <w:b/>
          <w:i w:val="false"/>
          <w:color w:val="000000"/>
          <w:sz w:val="22"/>
        </w:rPr>
        <w:t xml:space="preserve">Homeland security and emergency response teams.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requests to create homeland security and emergency response teams based on identified needs, on recommendations from the homeland security advisory committee, and at the request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Each team shall be designated by the director. To be eligible for designation, a team shall provide a written application to the director that details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of assistance that the team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response team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Team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24/7 contact information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Team agency, including head of agency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Team commander and assistant commander, including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Titles, names, and responsibilities of deployable response personnel assigned to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Listing of applicable local, state, and national standards and certifications to which team members are trained and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listing of the team’s major response assets that are related to the team’s mission. The listing shall provide details related to self-sufficiency, including the amount of time the team can remain self-sufficient.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Listing of communications assets, including radio frequencies used and any interoperability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estimate of the time needed to assemble the team members and assets and deploy upon the request of the director or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Upon receipt of the written application from the team, the director shall review the application. The director may seek additional information from the team. The team shall provide the requested information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approval of the application, the director shall issue a letter formally designating the team as an “Iowa homeland security and emergency response team” in accordance with Iowa Code section </w:t>
      </w:r>
      <w:hyperlink r:id="rId7">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 xml:space="preserve">. The director may enter into an agreement with the team in accordance with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val="false"/>
          <w:color w:val="000000"/>
          <w:sz w:val="22"/>
        </w:rPr>
        <w:t>Upon acceptance as a homeland security and emergency response team, the team shall routinely update all records to accurately reflect membership rosters and major assets at the team’s disposal. The team shall update records any time personnel are added to or removed from the team.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605—12.4</w:t>
      </w:r>
      <w:r>
        <w:rPr>
          <w:rFonts w:ascii="Times New Roman" w:hAnsi="Times New Roman"/>
          <w:b/>
          <w:i w:val="false"/>
          <w:color w:val="000000"/>
          <w:sz w:val="22"/>
        </w:rPr>
        <w:t xml:space="preserve">(29C) </w:t>
      </w:r>
      <w:r>
        <w:rPr>
          <w:rFonts w:ascii="Times New Roman" w:hAnsi="Times New Roman"/>
          <w:b/>
          <w:i w:val="false"/>
          <w:color w:val="000000"/>
          <w:sz w:val="22"/>
        </w:rPr>
        <w:t xml:space="preserve">Use of homeland security and emergency response teams.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designated team may be deployed in accordance with Iowa Code section </w:t>
      </w:r>
      <w:hyperlink r:id="rId9">
        <w:r>
          <w:rPr>
            <w:rStyle w:val="Hyperlink"/>
            <w:rFonts w:ascii="Times New Roman" w:hAnsi="Times New Roman"/>
            <w:b w:val="false"/>
            <w:i w:val="false"/>
            <w:color w:val="000000"/>
            <w:sz w:val="22"/>
          </w:rPr>
          <w:t>29C.8(3)</w:t>
        </w:r>
      </w:hyperlink>
      <w:r>
        <w:rPr>
          <w:rFonts w:ascii="Times New Roman" w:hAnsi="Times New Roman"/>
          <w:b w:val="false"/>
          <w:i/>
          <w:color w:val="000000"/>
          <w:sz w:val="22"/>
        </w:rPr>
        <w:t>“f,”</w:t>
      </w:r>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29C.21</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29C.22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A designated team shall be deployed as a state asset only by a directive from the director or pursuant to a governor’s disaster proclamation unless the sponsoring agency’s response team is needed to perform emergency services within its own jurisdiction. Should the response team perform emergency services within its own jurisdiction without a directive from the director or pursuant to a governor’s disaster proclamation, the team will be responsible for all associated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605—12.5</w:t>
      </w:r>
      <w:r>
        <w:rPr>
          <w:rFonts w:ascii="Times New Roman" w:hAnsi="Times New Roman"/>
          <w:b/>
          <w:i w:val="false"/>
          <w:color w:val="000000"/>
          <w:sz w:val="22"/>
        </w:rPr>
        <w:t xml:space="preserve">(29C) </w:t>
      </w:r>
      <w:r>
        <w:rPr>
          <w:rFonts w:ascii="Times New Roman" w:hAnsi="Times New Roman"/>
          <w:b/>
          <w:i w:val="false"/>
          <w:color w:val="000000"/>
          <w:sz w:val="22"/>
        </w:rPr>
        <w:t xml:space="preserve">Homeland security and emergency response team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homeland security and emergency response team will be compensated for its expenses while it is deployed as a state asset in accordance with Iowa Code section </w:t>
      </w:r>
      <w:hyperlink r:id="rId12">
        <w:r>
          <w:rPr>
            <w:rStyle w:val="Hyperlink"/>
            <w:rFonts w:ascii="Times New Roman" w:hAnsi="Times New Roman"/>
            <w:b w:val="false"/>
            <w:i w:val="false"/>
            <w:color w:val="000000"/>
            <w:sz w:val="22"/>
          </w:rPr>
          <w:t>29C.8(3)</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605—12.4</w:t>
        </w:r>
      </w:hyperlink>
      <w:r>
        <w:rPr>
          <w:rFonts w:ascii="Times New Roman" w:hAnsi="Times New Roman"/>
          <w:b w:val="false"/>
          <w:i w:val="false"/>
          <w:color w:val="000000"/>
          <w:sz w:val="22"/>
        </w:rPr>
        <w:t>(29C), subject to availability of funds. The application for compensation will be in a manner as specified by the director. Compensation shall be made to the team or the team’s governing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homeland security and emergency response team’s materials, equipment and supplies consumed or damaged while the team is deployed in accordance with rule </w:t>
      </w:r>
      <w:hyperlink r:id="rId14">
        <w:r>
          <w:rPr>
            <w:rStyle w:val="Hyperlink"/>
            <w:rFonts w:ascii="Times New Roman" w:hAnsi="Times New Roman"/>
            <w:b w:val="false"/>
            <w:i w:val="false"/>
            <w:color w:val="000000"/>
            <w:sz w:val="22"/>
          </w:rPr>
          <w:t>605—12.4</w:t>
        </w:r>
      </w:hyperlink>
      <w:r>
        <w:rPr>
          <w:rFonts w:ascii="Times New Roman" w:hAnsi="Times New Roman"/>
          <w:b w:val="false"/>
          <w:i w:val="false"/>
          <w:color w:val="000000"/>
          <w:sz w:val="22"/>
        </w:rPr>
        <w:t>(29C) shall be reimbursed on a replacement cost basis, subject to the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request funds from the executive council to address any obligations under rule </w:t>
      </w:r>
      <w:hyperlink r:id="rId15">
        <w:r>
          <w:rPr>
            <w:rStyle w:val="Hyperlink"/>
            <w:rFonts w:ascii="Times New Roman" w:hAnsi="Times New Roman"/>
            <w:b w:val="false"/>
            <w:i w:val="false"/>
            <w:color w:val="000000"/>
            <w:sz w:val="22"/>
          </w:rPr>
          <w:t>605—12.5</w:t>
        </w:r>
      </w:hyperlink>
      <w:r>
        <w:rPr>
          <w:rFonts w:ascii="Times New Roman" w:hAnsi="Times New Roman"/>
          <w:b w:val="false"/>
          <w:i w:val="false"/>
          <w:color w:val="000000"/>
          <w:sz w:val="22"/>
        </w:rPr>
        <w:t>(29C).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Should the response team perform emergency services within its own jurisdiction without a directive from the director or pursuant to a governor’s disaster proclamation, the team will be responsible for all associated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605—12.6</w:t>
      </w:r>
      <w:r>
        <w:rPr>
          <w:rFonts w:ascii="Times New Roman" w:hAnsi="Times New Roman"/>
          <w:b/>
          <w:i w:val="false"/>
          <w:color w:val="000000"/>
          <w:sz w:val="22"/>
        </w:rPr>
        <w:t xml:space="preserve">(29C) </w:t>
      </w:r>
      <w:r>
        <w:rPr>
          <w:rFonts w:ascii="Times New Roman" w:hAnsi="Times New Roman"/>
          <w:b/>
          <w:i w:val="false"/>
          <w:color w:val="000000"/>
          <w:sz w:val="22"/>
        </w:rPr>
        <w:t xml:space="preserve">Alternate deployment of homeland security and emergency response teams.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At its discretion, a homeland security and emergency response team may deploy at the direct request of a political subdivision of the state without a directive from the director or without a governor’s disaster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rule </w:t>
      </w:r>
      <w:hyperlink r:id="rId16">
        <w:r>
          <w:rPr>
            <w:rStyle w:val="Hyperlink"/>
            <w:rFonts w:ascii="Times New Roman" w:hAnsi="Times New Roman"/>
            <w:b w:val="false"/>
            <w:i w:val="false"/>
            <w:color w:val="000000"/>
            <w:sz w:val="22"/>
          </w:rPr>
          <w:t>605—12.5</w:t>
        </w:r>
      </w:hyperlink>
      <w:r>
        <w:rPr>
          <w:rFonts w:ascii="Times New Roman" w:hAnsi="Times New Roman"/>
          <w:b w:val="false"/>
          <w:i w:val="false"/>
          <w:color w:val="000000"/>
          <w:sz w:val="22"/>
        </w:rPr>
        <w:t xml:space="preserve">(29C) do not apply to a team deployed under rule </w:t>
      </w:r>
      <w:hyperlink r:id="rId17">
        <w:r>
          <w:rPr>
            <w:rStyle w:val="Hyperlink"/>
            <w:rFonts w:ascii="Times New Roman" w:hAnsi="Times New Roman"/>
            <w:b w:val="false"/>
            <w:i w:val="false"/>
            <w:color w:val="000000"/>
            <w:sz w:val="22"/>
          </w:rPr>
          <w:t>605—12.6</w:t>
        </w:r>
      </w:hyperlink>
      <w:r>
        <w:rPr>
          <w:rFonts w:ascii="Times New Roman" w:hAnsi="Times New Roman"/>
          <w:b w:val="false"/>
          <w:i w:val="false"/>
          <w:color w:val="000000"/>
          <w:sz w:val="22"/>
        </w:rPr>
        <w:t xml:space="preserve">(29C). A team deployed upon local request may seek compensation from the political subdivision making the request and in accordance with any mutual aid agreements that may exist at the time of deployment, including those authorized by Iowa Code section </w:t>
      </w:r>
      <w:hyperlink r:id="rId18">
        <w:r>
          <w:rPr>
            <w:rStyle w:val="Hyperlink"/>
            <w:rFonts w:ascii="Times New Roman" w:hAnsi="Times New Roman"/>
            <w:b w:val="false"/>
            <w:i w:val="false"/>
            <w:color w:val="000000"/>
            <w:sz w:val="22"/>
          </w:rPr>
          <w:t>29C.22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a team deployment, a governor’s disaster proclamation is issued, the director shall specify the date and time when the team may be deployed under rules </w:t>
      </w:r>
      <w:hyperlink r:id="rId19">
        <w:r>
          <w:rPr>
            <w:rStyle w:val="Hyperlink"/>
            <w:rFonts w:ascii="Times New Roman" w:hAnsi="Times New Roman"/>
            <w:b w:val="false"/>
            <w:i w:val="false"/>
            <w:color w:val="000000"/>
            <w:sz w:val="22"/>
          </w:rPr>
          <w:t>605—12.4</w:t>
        </w:r>
      </w:hyperlink>
      <w:r>
        <w:rPr>
          <w:rFonts w:ascii="Times New Roman" w:hAnsi="Times New Roman"/>
          <w:b w:val="false"/>
          <w:i w:val="false"/>
          <w:color w:val="000000"/>
          <w:sz w:val="22"/>
        </w:rPr>
        <w:t xml:space="preserve">(29C) and </w:t>
      </w:r>
      <w:hyperlink r:id="rId20">
        <w:r>
          <w:rPr>
            <w:rStyle w:val="Hyperlink"/>
            <w:rFonts w:ascii="Times New Roman" w:hAnsi="Times New Roman"/>
            <w:b w:val="false"/>
            <w:i w:val="false"/>
            <w:color w:val="000000"/>
            <w:sz w:val="22"/>
          </w:rPr>
          <w:t>605—12.5</w:t>
        </w:r>
      </w:hyperlink>
      <w:r>
        <w:rPr>
          <w:rFonts w:ascii="Times New Roman" w:hAnsi="Times New Roman"/>
          <w:b w:val="false"/>
          <w:i w:val="false"/>
          <w:color w:val="000000"/>
          <w:sz w:val="22"/>
        </w:rPr>
        <w:t>(29C).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3/19/07, Notice 12/20/06—published 4/11/07, effective 5/16/07]</w:t>
      </w:r>
    </w:p>
    <w:p>
      <w:pPr>
        <w:spacing w:before="0" w:after="0"/>
        <w:ind w:left="120"/>
        <w:jc w:val="center"/>
      </w:pPr>
      <w:r>
        <w:rPr>
          <w:rFonts w:ascii="Times New Roman" w:hAnsi="Times New Roman"/>
          <w:b w:val="false"/>
          <w:i w:val="false"/>
          <w:color w:val="000000"/>
          <w:sz w:val="21"/>
        </w:rPr>
        <w:t>[Filed ARC 2330C</w:t>
      </w:r>
      <w:r>
        <w:rPr>
          <w:rFonts w:ascii="Times New Roman" w:hAnsi="Times New Roman"/>
          <w:b w:val="false"/>
          <w:i w:val="false"/>
          <w:color w:val="000000"/>
          <w:sz w:val="21"/>
        </w:rPr>
        <w:t xml:space="preserve"> (Notice ARC 2210C,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9612C</w:t>
      </w:r>
      <w:r>
        <w:rPr>
          <w:rFonts w:ascii="Times New Roman" w:hAnsi="Times New Roman"/>
          <w:b w:val="false"/>
          <w:i w:val="false"/>
          <w:color w:val="000000"/>
          <w:sz w:val="21"/>
        </w:rPr>
        <w:t xml:space="preserve"> (Notice ARC 9486C, IAB 8/20/25)</w:t>
      </w:r>
      <w:r>
        <w:rPr>
          <w:rFonts w:ascii="Times New Roman" w:hAnsi="Times New Roman"/>
          <w:b w:val="false"/>
          <w:i w:val="false"/>
          <w:color w:val="000000"/>
          <w:sz w:val="21"/>
        </w:rPr>
        <w:t>, IAB 10/15/25, effective 11/19/25]</w:t>
      </w:r>
    </w:p>
    <w:sectPr>
      <w:footerReference r:id="rId2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2.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co/chapter/29C.8.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co/chapter/29C.8.pdf" Type="http://schemas.openxmlformats.org/officeDocument/2006/relationships/hyperlink" Id="rId9"/>
    <Relationship TargetMode="External" Target="https://www.legis.iowa.gov/docs/ico/chapter/29C.21.pdf" Type="http://schemas.openxmlformats.org/officeDocument/2006/relationships/hyperlink" Id="rId10"/>
    <Relationship TargetMode="External" Target="https://www.legis.iowa.gov/docs/ico/chapter/29C.22.pdf" Type="http://schemas.openxmlformats.org/officeDocument/2006/relationships/hyperlink" Id="rId11"/>
    <Relationship TargetMode="External" Target="https://www.legis.iowa.gov/docs/ico/chapter/29C.8.pdf" Type="http://schemas.openxmlformats.org/officeDocument/2006/relationships/hyperlink" Id="rId12"/>
    <Relationship TargetMode="External" Target="https://www.legis.iowa.gov/docs/iac/rule/605.12.4.pdf" Type="http://schemas.openxmlformats.org/officeDocument/2006/relationships/hyperlink" Id="rId13"/>
    <Relationship TargetMode="External" Target="https://www.legis.iowa.gov/docs/iac/rule/605.12.4.pdf" Type="http://schemas.openxmlformats.org/officeDocument/2006/relationships/hyperlink" Id="rId14"/>
    <Relationship TargetMode="External" Target="https://www.legis.iowa.gov/docs/iac/rule/605.12.5.pdf" Type="http://schemas.openxmlformats.org/officeDocument/2006/relationships/hyperlink" Id="rId15"/>
    <Relationship TargetMode="External" Target="https://www.legis.iowa.gov/docs/iac/rule/605.12.5.pdf" Type="http://schemas.openxmlformats.org/officeDocument/2006/relationships/hyperlink" Id="rId16"/>
    <Relationship TargetMode="External" Target="https://www.legis.iowa.gov/docs/iac/rule/605.12.6.pdf" Type="http://schemas.openxmlformats.org/officeDocument/2006/relationships/hyperlink" Id="rId17"/>
    <Relationship TargetMode="External" Target="https://www.legis.iowa.gov/docs/ico/chapter/29C.22.pdf" Type="http://schemas.openxmlformats.org/officeDocument/2006/relationships/hyperlink" Id="rId18"/>
    <Relationship TargetMode="External" Target="https://www.legis.iowa.gov/docs/iac/rule/605.12.4.pdf" Type="http://schemas.openxmlformats.org/officeDocument/2006/relationships/hyperlink" Id="rId19"/>
    <Relationship TargetMode="External" Target="https://www.legis.iowa.gov/docs/iac/rule/605.12.5.pdf" Type="http://schemas.openxmlformats.org/officeDocument/2006/relationships/hyperlink" Id="rId20"/>
    <Relationship TargetMode="External" Target="https://www.legis.iowa.gov/docs/ico/chapter/29C.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