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EMERGENCY ASSISTANCE</w:t>
      </w:r>
    </w:p>
    <w:p>
      <w:pPr>
        <w:spacing w:before="0" w:after="0"/>
        <w:ind w:left="120"/>
        <w:jc w:val="center"/>
      </w:pPr>
      <w:r>
        <w:rPr>
          <w:rFonts w:ascii="Times New Roman" w:hAnsi="Times New Roman"/>
          <w:b w:val="false"/>
          <w:i w:val="false"/>
          <w:color w:val="000000"/>
          <w:sz w:val="14"/>
        </w:rPr>
        <w:t>[Prior to 6/28/23, see Human Services Department[441] Ch 58]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3/25/31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IOWA DISASTER AID INDIVIDUAL ASSISTANCE GRANT PROGRAM</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This division implements a state program of financial assistance to meet disaster-related expenses, food-related costs, or serious needs of individuals or families who are adversely affected by a state-declared disaster emergency. The program is intended to meet needs that cannot be met by other means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605—11.1</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“Bona fide residence”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“bona fide address”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321.1(6C)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the structure in which a household resides. “Dwelling” or “dwelling unit” includes permanent structures, mobile homes, manufactured homes, modular homes, fifth-wheel travel trailers, travel trailers, and motor homes in which a household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management coordinator”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appointed by the local emergency management commission pursuant to Iowa Code sections </w:t>
      </w:r>
      <w:hyperlink r:id="rId7">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“Fifth-wheel travel trailer”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w:t>
      </w:r>
      <w:r>
        <w:rPr>
          <w:rFonts w:ascii="Times New Roman" w:hAnsi="Times New Roman"/>
          <w:b w:val="false"/>
          <w:i w:val="false"/>
          <w:color w:val="000000"/>
          <w:sz w:val="22"/>
        </w:rPr>
        <w:t> </w:t>
      </w:r>
      <w:r>
        <w:rPr>
          <w:rFonts w:ascii="Times New Roman" w:hAnsi="Times New Roman"/>
          <w:b w:val="false"/>
          <w:i w:val="false"/>
          <w:color w:val="000000"/>
          <w:sz w:val="22"/>
        </w:rPr>
        <w:t>means the pre-disaster dwelling or dwelling unit for a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all adults and children who lived in the pre-disaster residence who request assistance, as well as any persons, such as infants, spouses, or part-time residents, who were not present at the time of the disaster but who are expected to return during the assistance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“Modular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or mobile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“Mitigation”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605—1.2</w:t>
        </w:r>
      </w:hyperlink>
      <w:r>
        <w:rPr>
          <w:rFonts w:ascii="Times New Roman" w:hAnsi="Times New Roman"/>
          <w:b w:val="false"/>
          <w:i w:val="false"/>
          <w:color w:val="000000"/>
          <w:sz w:val="22"/>
        </w:rPr>
        <w:t xml:space="preserve">(29C).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“Necessary expense”</w:t>
      </w:r>
      <w:r>
        <w:rPr>
          <w:rFonts w:ascii="Times New Roman" w:hAnsi="Times New Roman"/>
          <w:b w:val="false"/>
          <w:i w:val="false"/>
          <w:color w:val="000000"/>
          <w:sz w:val="22"/>
        </w:rPr>
        <w:t> </w:t>
      </w:r>
      <w:r>
        <w:rPr>
          <w:rFonts w:ascii="Times New Roman" w:hAnsi="Times New Roman"/>
          <w:b w:val="false"/>
          <w:i w:val="false"/>
          <w:color w:val="000000"/>
          <w:sz w:val="22"/>
        </w:rPr>
        <w:t>means the cost associated with acquiring an item or items, obtaining a service, or paying for any other activity that meets a serious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one or more persons, jointly or severally, in whom is vested all or part of the legal title to property or all or part of the beneficial ownership and a right to present use and enjoyment of the property. “Owner” includes a mortgagee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“Rent”</w:t>
      </w:r>
      <w:r>
        <w:rPr>
          <w:rFonts w:ascii="Times New Roman" w:hAnsi="Times New Roman"/>
          <w:b w:val="false"/>
          <w:i w:val="false"/>
          <w:color w:val="000000"/>
          <w:sz w:val="22"/>
        </w:rPr>
        <w:t> </w:t>
      </w:r>
      <w:r>
        <w:rPr>
          <w:rFonts w:ascii="Times New Roman" w:hAnsi="Times New Roman"/>
          <w:b w:val="false"/>
          <w:i w:val="false"/>
          <w:color w:val="000000"/>
          <w:sz w:val="22"/>
        </w:rPr>
        <w:t>means an amount paid to the landlord under the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 sanitary, and secure”</w:t>
      </w:r>
      <w:r>
        <w:rPr>
          <w:rFonts w:ascii="Times New Roman" w:hAnsi="Times New Roman"/>
          <w:b w:val="false"/>
          <w:i w:val="false"/>
          <w:color w:val="000000"/>
          <w:sz w:val="22"/>
        </w:rPr>
        <w:t> </w:t>
      </w:r>
      <w:r>
        <w:rPr>
          <w:rFonts w:ascii="Times New Roman" w:hAnsi="Times New Roman"/>
          <w:b w:val="false"/>
          <w:i w:val="false"/>
          <w:color w:val="000000"/>
          <w:sz w:val="22"/>
        </w:rPr>
        <w:t>means free from disaster-related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need”</w:t>
      </w:r>
      <w:r>
        <w:rPr>
          <w:rFonts w:ascii="Times New Roman" w:hAnsi="Times New Roman"/>
          <w:b w:val="false"/>
          <w:i w:val="false"/>
          <w:color w:val="000000"/>
          <w:sz w:val="22"/>
        </w:rPr>
        <w:t> </w:t>
      </w:r>
      <w:r>
        <w:rPr>
          <w:rFonts w:ascii="Times New Roman" w:hAnsi="Times New Roman"/>
          <w:b w:val="false"/>
          <w:i w:val="false"/>
          <w:color w:val="000000"/>
          <w:sz w:val="22"/>
        </w:rPr>
        <w:t>means the item or service is essential to the household to prevent, mitigate, or overcome a disaster-related hardship, injury, or adverse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entitled under a rental agreement to occupy a dwelling or dwelling unit to the exclusion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“Travel trailer”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w:t>
      </w:r>
      <w:r>
        <w:rPr>
          <w:rFonts w:ascii="Times New Roman" w:hAnsi="Times New Roman"/>
          <w:b/>
          <w:i w:val="false"/>
          <w:color w:val="000000"/>
          <w:sz w:val="22"/>
        </w:rPr>
        <w:t xml:space="preserve">(29C)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Disaster proclamation. </w:t>
      </w:r>
      <w:r>
        <w:rPr>
          <w:rFonts w:ascii="Times New Roman" w:hAnsi="Times New Roman"/>
          <w:b w:val="false"/>
          <w:i w:val="false"/>
          <w:color w:val="000000"/>
          <w:sz w:val="22"/>
        </w:rPr>
        <w:t>The Iowa individual assistance grant program (IIAGP) shall be implemented when the governor issues a proclamation of a state of disaster emergency that authorizes individual assistance. The program shall be in effect only in those counties named in the proclamation. Assistance shall be provided for a period not to exceed 120 days from the date of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Voucher system. </w:t>
      </w:r>
      <w:r>
        <w:rPr>
          <w:rFonts w:ascii="Times New Roman" w:hAnsi="Times New Roman"/>
          <w:b w:val="false"/>
          <w:i w:val="false"/>
          <w:color w:val="000000"/>
          <w:sz w:val="22"/>
        </w:rPr>
        <w:t>The IIAGP will be implemented through a reimbursement or voucher system. Reimbursement may include checks provided to the applicant. The applicant must sign a promise to purchase replacement food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Program extensions.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may be extended beyond 120 days through an extension of the governor’s disaster proclamation;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may be extended in 30-day intervals requested by the applicant household through the contracted entity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605—11.3</w:t>
      </w:r>
      <w:r>
        <w:rPr>
          <w:rFonts w:ascii="Times New Roman" w:hAnsi="Times New Roman"/>
          <w:b/>
          <w:i w:val="false"/>
          <w:color w:val="000000"/>
          <w:sz w:val="22"/>
        </w:rPr>
        <w:t xml:space="preserve">(29C) </w:t>
      </w:r>
      <w:r>
        <w:rPr>
          <w:rFonts w:ascii="Times New Roman" w:hAnsi="Times New Roman"/>
          <w:b/>
          <w:i w:val="false"/>
          <w:color w:val="000000"/>
          <w:sz w:val="22"/>
        </w:rPr>
        <w:t xml:space="preserve">Application for assistance. </w:t>
      </w:r>
      <w:r>
        <w:rPr>
          <w:rFonts w:ascii="Times New Roman" w:hAnsi="Times New Roman"/>
          <w:b w:val="false"/>
          <w:i w:val="false"/>
          <w:color w:val="000000"/>
          <w:sz w:val="22"/>
        </w:rPr>
        <w:t>To request assistance for disaster-related expenses, the household shall complete the online form and submit it within 45 days of the disaster proclamation to the contracted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are available from an approved administrative entity, as well as the website of the department at </w:t>
      </w:r>
      <w:hyperlink r:id="rId16">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declaration of the household’s annual income, accompanied by a current pay stub, W-2 form, or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authorization to release confidential information to personnel involved in administering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accuracy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assurance that the household had no insurance coverage for claimed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commitment to refund any part of a grant awarded that is duplicated by insurance or by any other assistance program, such as but not limited to local community development groups and charities, the Small Business Administration, or the Federal Emergency Management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short, handwritten narrative of how the disaster event caused the claimed loss, including an itemized list of items damaged by the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a picture identification document for the adult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vehicle damage is claimed, current copies of the vehicle registration and liability insurance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application period may be extended beyond 45 days through an extension of the governor’s disaster proclamation. If the forty-fifth day falls on a Saturday, Sunday, or holiday, the deadline is moved to the following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Only one application will be accepted per household. Duplicate applications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Applicants must respond to requests for information within 21 days or the application will be denied. If an application is denied because a client does not respond to a request for documentation, the applicant has 30 days from the date on the notice letter to submit documentation or the case cannot be reopened.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605—11.4</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To be eligible for assistance, an applicant household must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The household’s bona fide residence was located in the area identified in the disaster proclamation during the designated incident period, and the household verifies occupancy at that residence. If a vehicle was damaged, the vehicle must have been located in the same county as the bona fide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Household members are citizens of the United States or are legally residing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household’s annual income is at or less than 200 percent of the federal poverty level for a household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Poverty guidelines are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income available to the household is counted, including wages, child support, interest from investments or bank accounts, social security benefits, and retirement income. Proof of income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determination is based on the applicant’s or applicants’ adjusted gross income as defined in </w:t>
      </w:r>
      <w:r>
        <w:rPr>
          <w:rFonts w:ascii="Times New Roman" w:hAnsi="Times New Roman"/>
          <w:b w:val="false"/>
          <w:i w:val="false"/>
          <w:color w:val="000000"/>
          <w:sz w:val="22"/>
        </w:rPr>
        <w:t>26 U.S.C. §62</w:t>
      </w:r>
      <w:r>
        <w:rPr>
          <w:rFonts w:ascii="Times New Roman" w:hAnsi="Times New Roman"/>
          <w:b w:val="false"/>
          <w:i w:val="false"/>
          <w:color w:val="000000"/>
          <w:sz w:val="22"/>
        </w:rPr>
        <w:t xml:space="preserve"> as amended to March 25,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The household has unmet disaster-related expenses or serious needs that are not covered by insurance. The applicant must provide claim documentation from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The household has not previously received assistance from this program or another program for the same loss in the same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val="false"/>
          <w:color w:val="000000"/>
          <w:sz w:val="22"/>
        </w:rPr>
        <w:t>Household eligibility for home repair assistance for a dwelling or dwelling unit damaged due to a proclaimed disaster is only available for a household that owns and occupies the dwelling or dwelling unit being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will be denied if preexisting conditions are the cause of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rental dwellings, dwelling units, or landlord-owned equipment are excluded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605—11.5</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Eligible categories of assistance. </w:t>
      </w:r>
      <w:r>
        <w:rPr>
          <w:rFonts w:ascii="Times New Roman" w:hAnsi="Times New Roman"/>
          <w:b w:val="false"/>
          <w:i w:val="false"/>
          <w:color w:val="000000"/>
          <w:sz w:val="22"/>
        </w:rPr>
        <w:t>Expenses eligible for grant funding shall be limited to personal property, food assistance, home repair and temporary housing and shall not exceed a total of $7,000. Assistance is available under the program for the following disaster-related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Personal property and food assistance may be issued for damage to personal property or food replacement. Eligible items for personal property assistance may include but are not limited to the following items, based on the item’s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Appliances or equipment,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Small household appliances,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Microwaves,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Dehumidifiers,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Window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Large household appliances if the appliance is owned by the household and not a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Outdoor equipment,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Lawn mowers,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Snow blowers.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hygiene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medications or medical equipment not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Basic household items,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Furnishings (e.g., tables, chairs, dressers, couches, end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Beds (e.g., mattresses,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Curtains or window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 or booster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Strollers,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Storage totes,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Televisions,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Laptop or desktop computers,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Area 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Short-term transportation, such as bus passes.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Debris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Vehicle repair or replacement if a total loss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personal property items, as determined by the department, in order to assist the household in making the dwelling or dwelling unit safe, sanitary, and secure.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Home repair assistance may be issued for home repair for an owner-occupied dwelling or dwelling unit as needed to make the dwelling or dwelling unit safe, sanitary, and secure, up to a maximum of $7,000.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will be denied if preexisting conditions are the cause of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rental dwellings or dwelling units or landlord-owned equipment are excluded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may be authorized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repair of structural components, such as the foundation and 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repair of floors, walls, ceilings, doors, windows, and carpeting of essential interior living space that was occupied at the time of the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Mitigation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Debris removal, including trees.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Bathroom, including toilet, sink, and tub/shower.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Sump pump installation (in a flood event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Electrical or mechanical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Heating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Air-conditioning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Water well repair for dwellings or dwelling units with no other source of water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Water softener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Repairs completed by a vendor must be compliant with applicable building codes and standards as of the date of the governor’s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Temporary housing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Temporary housing assistance may be issued to a household for lodging at a licensed establishment, such as a hotel or motel. The household’s home must be considered to be destroyed, uninhabitable, inaccessible, or unavailable to the household. Total temporary housing assistance cannot exceed $7,000 and is included as part of disaster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housing assistance may also be granted for rental unit application fees, deposits, and first month’s rent for a new dwelling.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Replacement, repair, or provision of other items of necessity may be approved by the department on a case-by-case basis, up to a maximum of $7,000.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605—11.6</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determination and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contracted entity or designee shall confirm that the bona fide address provided on the application is a valid address and is reasonably believed to be in the disaster-affected area. The department or contracted entity reserves the right to view the damaged property prior to providing any assistance pursuant to the IIAGP.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Designated staff in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applicants’ names and addresses as reports are submitted by the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 review, and provide timely submission of invoices by the administrative entity for payment and shall process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For applications with a voucher or reimbursement request, the department or its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eligibility and the amount of payment within the rules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the decision will be written, timely and adequate. Timely means within ten days of the decision being made along with a full and complete explanation for why assistance may have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vouchers to an eligible household to purchase needed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vendors for goods and services purchased with vouchers.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605—11.7</w:t>
      </w:r>
      <w:r>
        <w:rPr>
          <w:rFonts w:ascii="Times New Roman" w:hAnsi="Times New Roman"/>
          <w:b/>
          <w:i w:val="false"/>
          <w:color w:val="000000"/>
          <w:sz w:val="22"/>
        </w:rPr>
        <w:t xml:space="preserve">(29C)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household may request reconsideration of decisions regarding eligibility and the amount of assistance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reconsideration, the household shall submit a written request to the Iowa Department of Homeland Security and Emergency Management, 7900 Hickman Road, Windsor Heights, Iowa 50324, within 30 days of the date of the letter notifying the household of the department’s decision. Reconsiderations will also be accepted electronically via the process detailed in the initial notice of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any additional evidence or documentation submitted and issue a reconsideration decision within 30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household may appeal the department’s reconsideration decision according to procedures in </w:t>
      </w:r>
      <w:hyperlink r:id="rId17">
        <w:r>
          <w:rPr>
            <w:rStyle w:val="Hyperlink"/>
            <w:rFonts w:ascii="Times New Roman" w:hAnsi="Times New Roman"/>
            <w:b w:val="false"/>
            <w:i w:val="false"/>
            <w:color w:val="000000"/>
            <w:sz w:val="22"/>
          </w:rPr>
          <w:t>605—Chapter 2</w:t>
        </w:r>
      </w:hyperlink>
      <w:r>
        <w:rPr>
          <w:rFonts w:ascii="Times New Roman" w:hAnsi="Times New Roman"/>
          <w:b w:val="false"/>
          <w:i w:val="false"/>
          <w:color w:val="000000"/>
          <w:sz w:val="22"/>
        </w:rPr>
        <w:t xml:space="preserve"> and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must be submitted in writing to the Iowa Department of Homeland Security and Emergency Management, 7900 Hickman Road, Windsor Heights, Iowa 50324, within 30 days of the date of the reconsideration decision. Written appeals will also be accepted electronically via the process detailed in the notice of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appeal is filed on the date the envelope sent to the department is postmarked or, when the postmarked envelope is not available, on the date the appeal is stamped received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605—11.8</w:t>
      </w:r>
      <w:r>
        <w:rPr>
          <w:rFonts w:ascii="Times New Roman" w:hAnsi="Times New Roman"/>
          <w:b/>
          <w:i w:val="false"/>
          <w:color w:val="000000"/>
          <w:sz w:val="22"/>
        </w:rPr>
        <w:t xml:space="preserve">(29C) </w:t>
      </w:r>
      <w:r>
        <w:rPr>
          <w:rFonts w:ascii="Times New Roman" w:hAnsi="Times New Roman"/>
          <w:b/>
          <w:i w:val="false"/>
          <w:color w:val="000000"/>
          <w:sz w:val="22"/>
        </w:rPr>
        <w:t xml:space="preserve">Discontinuance of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Deferral to federal assistance. </w:t>
      </w:r>
      <w:r>
        <w:rPr>
          <w:rFonts w:ascii="Times New Roman" w:hAnsi="Times New Roman"/>
          <w:b w:val="false"/>
          <w:i w:val="false"/>
          <w:color w:val="000000"/>
          <w:sz w:val="22"/>
        </w:rPr>
        <w:t xml:space="preserve">Upon declaration of a disaster by the President of the United States under the Robert T. Stafford Disaster Relief and Emergency Assistance Act, </w:t>
      </w:r>
      <w:r>
        <w:rPr>
          <w:rFonts w:ascii="Times New Roman" w:hAnsi="Times New Roman"/>
          <w:b w:val="false"/>
          <w:i w:val="false"/>
          <w:color w:val="000000"/>
          <w:sz w:val="22"/>
        </w:rPr>
        <w:t>42 U.S.C. §5121</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§5207</w:t>
      </w:r>
      <w:r>
        <w:rPr>
          <w:rFonts w:ascii="Times New Roman" w:hAnsi="Times New Roman"/>
          <w:b w:val="false"/>
          <w:i w:val="false"/>
          <w:color w:val="000000"/>
          <w:sz w:val="22"/>
        </w:rPr>
        <w:t xml:space="preserve"> as of March 25, 2026, the Iowa individual assistance grant program administered under this chapter will be discontinued in the geographic area designated by the federal individual assistance program. Upon issuance of the presidential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applications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applications that are in process but are not yet approved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seeking assistance under this program will be advised to apply for federal disaster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Exhaustion of funds. </w:t>
      </w:r>
      <w:r>
        <w:rPr>
          <w:rFonts w:ascii="Times New Roman" w:hAnsi="Times New Roman"/>
          <w:b w:val="false"/>
          <w:i w:val="false"/>
          <w:color w:val="000000"/>
          <w:sz w:val="22"/>
        </w:rPr>
        <w:t>The program will be discontinued when funds available for the program have been exhausted. To ensure equitable treatment, applications for assistance will be approved on a first-come, first-served basis until all funds have been depleted. “First-come, first-served” is determined by the date the application is approved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Partial payment. </w:t>
      </w:r>
      <w:r>
        <w:rPr>
          <w:rFonts w:ascii="Times New Roman" w:hAnsi="Times New Roman"/>
          <w:b w:val="false"/>
          <w:i w:val="false"/>
          <w:color w:val="000000"/>
          <w:sz w:val="22"/>
        </w:rPr>
        <w:t>Because funds are limited, applications may be approved for less than the amount requested. Payment cannot be approved beyond the amount of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Reserved funds. </w:t>
      </w:r>
      <w:r>
        <w:rPr>
          <w:rFonts w:ascii="Times New Roman" w:hAnsi="Times New Roman"/>
          <w:b w:val="false"/>
          <w:i w:val="false"/>
          <w:color w:val="000000"/>
          <w:sz w:val="22"/>
        </w:rPr>
        <w:t>A portion of allocated funds will be reserved for final appeal decisions reversing the department’s denial that are received after funds for the program have been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Untimely applications. </w:t>
      </w:r>
      <w:r>
        <w:rPr>
          <w:rFonts w:ascii="Times New Roman" w:hAnsi="Times New Roman"/>
          <w:b w:val="false"/>
          <w:i w:val="false"/>
          <w:color w:val="000000"/>
          <w:sz w:val="22"/>
        </w:rPr>
        <w:t>Applications received after the program is discontinued will be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29C.20A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605—11.9</w:t>
      </w:r>
      <w:r>
        <w:rPr>
          <w:rFonts w:ascii="Times New Roman" w:hAnsi="Times New Roman"/>
          <w:b w:val="false"/>
          <w:i w:val="false"/>
          <w:color w:val="000000"/>
          <w:sz w:val="22"/>
        </w:rPr>
        <w:t xml:space="preserve"> to </w:t>
      </w:r>
      <w:r>
        <w:rPr>
          <w:rFonts w:ascii="Times New Roman" w:hAnsi="Times New Roman"/>
          <w:b/>
          <w:i w:val="false"/>
          <w:color w:val="000000"/>
          <w:sz w:val="22"/>
        </w:rPr>
        <w:t>11.20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IOWA DISASTER CASE ADVOCACY</w:t>
      </w:r>
    </w:p>
    <w:p>
      <w:pPr>
        <w:spacing w:before="0" w:after="0"/>
        <w:ind w:left="120"/>
        <w:jc w:val="both"/>
      </w:pPr>
      <w:r>
        <w:rPr>
          <w:rFonts w:ascii="Times New Roman" w:hAnsi="Times New Roman"/>
          <w:b/>
          <w:i w:val="false"/>
          <w:color w:val="000000"/>
          <w:sz w:val="22"/>
        </w:rPr>
        <w:t>605—11.21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guide the provision of the Iowa disaster case advocacy (IDCA) program during the time of emergency disaster for individual assistance when a disaster is proclaimed by the governor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“Contracted entity”</w:t>
      </w:r>
      <w:r>
        <w:rPr>
          <w:rFonts w:ascii="Times New Roman" w:hAnsi="Times New Roman"/>
          <w:b w:val="false"/>
          <w:i w:val="false"/>
          <w:color w:val="000000"/>
          <w:sz w:val="22"/>
        </w:rPr>
        <w:t> </w:t>
      </w:r>
      <w:r>
        <w:rPr>
          <w:rFonts w:ascii="Times New Roman" w:hAnsi="Times New Roman"/>
          <w:b w:val="false"/>
          <w:i w:val="false"/>
          <w:color w:val="000000"/>
          <w:sz w:val="22"/>
        </w:rPr>
        <w:t>means an entity chosen by the department as the contracted administrator for the IDCA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management coordinator”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appointed by the local emergency management commission pursuant to Iowa Code sections </w:t>
      </w:r>
      <w:hyperlink r:id="rId19">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all adults and children who lived in the pre-disaster residence who request assistance, as well as any persons, such as infants, spouses, or part-time residents, who were not present at the time of the disaster but who are expected to return during the assistance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disaster human resource council”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“IDHRC”</w:t>
      </w:r>
      <w:r>
        <w:rPr>
          <w:rFonts w:ascii="Times New Roman" w:hAnsi="Times New Roman"/>
          <w:b w:val="false"/>
          <w:i w:val="false"/>
          <w:color w:val="000000"/>
          <w:sz w:val="22"/>
        </w:rPr>
        <w:t> </w:t>
      </w:r>
      <w:r>
        <w:rPr>
          <w:rFonts w:ascii="Times New Roman" w:hAnsi="Times New Roman"/>
          <w:b w:val="false"/>
          <w:i w:val="false"/>
          <w:color w:val="000000"/>
          <w:sz w:val="22"/>
        </w:rPr>
        <w:t xml:space="preserve">is recognized as the designated voluntary organization active in disasters for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“Necessary services”</w:t>
      </w:r>
      <w:r>
        <w:rPr>
          <w:rFonts w:ascii="Times New Roman" w:hAnsi="Times New Roman"/>
          <w:b w:val="false"/>
          <w:i w:val="false"/>
          <w:color w:val="000000"/>
          <w:sz w:val="22"/>
        </w:rPr>
        <w:t> </w:t>
      </w:r>
      <w:r>
        <w:rPr>
          <w:rFonts w:ascii="Times New Roman" w:hAnsi="Times New Roman"/>
          <w:b w:val="false"/>
          <w:i w:val="false"/>
          <w:color w:val="000000"/>
          <w:sz w:val="22"/>
        </w:rPr>
        <w:t>means the guidance and advice in obtaining a service, or assistance in obtaining resources from various providers for any other activity that addresses a serious 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605—11.23</w:t>
      </w:r>
      <w:r>
        <w:rPr>
          <w:rFonts w:ascii="Times New Roman" w:hAnsi="Times New Roman"/>
          <w:b/>
          <w:i w:val="false"/>
          <w:color w:val="000000"/>
          <w:sz w:val="22"/>
        </w:rPr>
        <w:t xml:space="preserve">(29C)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color w:val="000000"/>
          <w:sz w:val="22"/>
        </w:rPr>
        <w:t xml:space="preserve">Disaster proclamation. </w:t>
      </w:r>
      <w:r>
        <w:rPr>
          <w:rFonts w:ascii="Times New Roman" w:hAnsi="Times New Roman"/>
          <w:b w:val="false"/>
          <w:i w:val="false"/>
          <w:color w:val="000000"/>
          <w:sz w:val="22"/>
        </w:rPr>
        <w:t>The IDCA program shall be implemented when the governor issues a proclamation of a state of emergency disaster that authorizes individual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be in effect only in those counties named in the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commence on the day following the governor’s disaster proclamation and shall be provided for a period of up to 180 days from the date of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may be extended in intervals up to 90 days when adequate justification is presented to the department, but not to exceed 730 days from the date of the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disaster becomes a presidentially declared disaster and a Federal Emergency Management Agency (FEMA) disaster case management (DCM) grant is approved, then assistance may be provided for a period of up to 24 months from the date of the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reporting of the numbers of contacts, cases opened, cases pending, cases closed, and other reports as determined and communicated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Audits of disaster case files, as well as cost management and expenditures, may be randomly performed by the department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color w:val="000000"/>
          <w:sz w:val="22"/>
        </w:rPr>
        <w:t xml:space="preserve">Contracting. </w:t>
      </w:r>
      <w:r>
        <w:rPr>
          <w:rFonts w:ascii="Times New Roman" w:hAnsi="Times New Roman"/>
          <w:b w:val="false"/>
          <w:i w:val="false"/>
          <w:color w:val="000000"/>
          <w:sz w:val="22"/>
        </w:rPr>
        <w:t>The administrative entity currently under contract for the IIAGP may receive an amended contract to specify administration of the IDCA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Future contract renewals may be inclusive with the IIAGP and as amended to include the IDCA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local contracted entity is under contract with the state to provide other services or is implementing a state or federal program and the contract contains a sufficient surety bond or other adequate financial responsibility provision, the department shall accept the existing surety bond or financial responsibility provisions in lieu of applying a new or additional surety bond or financial responsibility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contracted entity shall coordinate activities with emergency management coordinators and voluntary organizations active in the disaster while the program is active. The contracted entity may subcontract with other entities to provide disaster case advocacy with the approval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605—11.24</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To be eligible for assistance, an applicant household must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val="false"/>
          <w:color w:val="000000"/>
          <w:sz w:val="22"/>
        </w:rPr>
        <w:t>The household’s residence was located in the area identified in the disaster proclamation during the designated incident period and the household verifies occupancy at that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val="false"/>
          <w:color w:val="000000"/>
          <w:sz w:val="22"/>
        </w:rPr>
        <w:t>Household members are citizens of the United States or are legally residing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val="false"/>
          <w:color w:val="000000"/>
          <w:sz w:val="22"/>
        </w:rPr>
        <w:t>The household has disaster-related needs that represent a burden that the family is unable to resolve.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605—11.25</w:t>
      </w:r>
      <w:r>
        <w:rPr>
          <w:rFonts w:ascii="Times New Roman" w:hAnsi="Times New Roman"/>
          <w:b/>
          <w:i w:val="false"/>
          <w:color w:val="000000"/>
          <w:sz w:val="22"/>
        </w:rPr>
        <w:t xml:space="preserve">(29C) </w:t>
      </w:r>
      <w:r>
        <w:rPr>
          <w:rFonts w:ascii="Times New Roman" w:hAnsi="Times New Roman"/>
          <w:b/>
          <w:i w:val="false"/>
          <w:color w:val="000000"/>
          <w:sz w:val="22"/>
        </w:rPr>
        <w:t xml:space="preserve">Services. </w:t>
      </w:r>
      <w:r>
        <w:rPr>
          <w:rFonts w:ascii="Times New Roman" w:hAnsi="Times New Roman"/>
          <w:b w:val="false"/>
          <w:i w:val="false"/>
          <w:color w:val="000000"/>
          <w:sz w:val="22"/>
        </w:rPr>
        <w:t>Disaster case advocacy is a time-limited resource and process that involves a partnership between a case advocate and a household impacted by a disaster (also known as a client) to develop and carry out a disaster recovery plan. This partnership provides the client with a single point of contact to facilitate access to a broad range of resources, promoting sustainable assistance for individuals and a household’s recovery. These services are client-focused and provided in a manner consistent with standards for trauma-informed practice in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605—11.26</w:t>
      </w:r>
      <w:r>
        <w:rPr>
          <w:rFonts w:ascii="Times New Roman" w:hAnsi="Times New Roman"/>
          <w:b/>
          <w:i w:val="false"/>
          <w:color w:val="000000"/>
          <w:sz w:val="22"/>
        </w:rPr>
        <w:t xml:space="preserve">(29C) </w:t>
      </w:r>
      <w:r>
        <w:rPr>
          <w:rFonts w:ascii="Times New Roman" w:hAnsi="Times New Roman"/>
          <w:b/>
          <w:i w:val="false"/>
          <w:color w:val="000000"/>
          <w:sz w:val="22"/>
        </w:rPr>
        <w:t xml:space="preserve">Disaster-caused unmet needs. </w:t>
      </w:r>
      <w:r>
        <w:rPr>
          <w:rFonts w:ascii="Times New Roman" w:hAnsi="Times New Roman"/>
          <w:b w:val="false"/>
          <w:i w:val="false"/>
          <w:color w:val="000000"/>
          <w:sz w:val="22"/>
        </w:rPr>
        <w:t>A disaster-caused unmet need is an unresourced item, support, or assistance that has been assessed by a representative from a local, state, tribal, federal agency or a voluntary, or faith-based organization and that is needed for the client to recover from the disaster. Unmet disaster-caused needs may also include basic and immediate needs, such as food, clothing, shelter, or first aid, and long-term needs, such as financial, physical, emotional or spiritual well-being.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605—11.27</w:t>
      </w:r>
      <w:r>
        <w:rPr>
          <w:rFonts w:ascii="Times New Roman" w:hAnsi="Times New Roman"/>
          <w:b/>
          <w:i w:val="false"/>
          <w:color w:val="000000"/>
          <w:sz w:val="22"/>
        </w:rPr>
        <w:t xml:space="preserve">(29C) </w:t>
      </w:r>
      <w:r>
        <w:rPr>
          <w:rFonts w:ascii="Times New Roman" w:hAnsi="Times New Roman"/>
          <w:b/>
          <w:i w:val="false"/>
          <w:color w:val="000000"/>
          <w:sz w:val="22"/>
        </w:rPr>
        <w:t xml:space="preserve">Resources. </w:t>
      </w:r>
      <w:r>
        <w:rPr>
          <w:rFonts w:ascii="Times New Roman" w:hAnsi="Times New Roman"/>
          <w:b w:val="false"/>
          <w:i w:val="false"/>
          <w:color w:val="000000"/>
          <w:sz w:val="22"/>
        </w:rPr>
        <w:t>Applicable resources may include but are not limited to insurance payments, state assistance, voluntary/faith-based and local community assistance, federal disaster assistance, small business administration loans, and personal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605—11.28</w:t>
      </w:r>
      <w:r>
        <w:rPr>
          <w:rFonts w:ascii="Times New Roman" w:hAnsi="Times New Roman"/>
          <w:b/>
          <w:i w:val="false"/>
          <w:color w:val="000000"/>
          <w:sz w:val="22"/>
        </w:rPr>
        <w:t xml:space="preserve">(29C) </w:t>
      </w:r>
      <w:r>
        <w:rPr>
          <w:rFonts w:ascii="Times New Roman" w:hAnsi="Times New Roman"/>
          <w:b/>
          <w:i w:val="false"/>
          <w:color w:val="000000"/>
          <w:sz w:val="22"/>
        </w:rPr>
        <w:t xml:space="preserve">Standards and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The contracted entity shall provide clients with ease of access to disaster case advocacy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duplications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contracted entity shall have policies and procedures to meet requirements regarding maintaining confidentiality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contracted entity shall develop memorandums of agreement, memorandums of understanding, and release of information that will allow coordinated case advocacy and services and prevent the duplication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color w:val="000000"/>
          <w:sz w:val="22"/>
        </w:rPr>
        <w:t xml:space="preserve">Engagement. </w:t>
      </w:r>
      <w:r>
        <w:rPr>
          <w:rFonts w:ascii="Times New Roman" w:hAnsi="Times New Roman"/>
          <w:b w:val="false"/>
          <w:i w:val="false"/>
          <w:color w:val="000000"/>
          <w:sz w:val="22"/>
        </w:rPr>
        <w:t>The case advocate shall create a sustainable, trusting partnership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The case advocate shall perform screening to determine eligibility and disaster-related unmet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11.28(5)</w:t>
      </w:r>
      <w:r>
        <w:rPr>
          <w:rFonts w:ascii="Times New Roman" w:hAnsi="Times New Roman"/>
          <w:b w:val="false"/>
          <w:i w:val="false"/>
          <w:color w:val="000000"/>
          <w:sz w:val="22"/>
        </w:rPr>
        <w:t> </w:t>
      </w:r>
      <w:r>
        <w:rPr>
          <w:rFonts w:ascii="Times New Roman" w:hAnsi="Times New Roman"/>
          <w:b w:val="false"/>
          <w:i/>
          <w:color w:val="000000"/>
          <w:sz w:val="22"/>
        </w:rPr>
        <w:t xml:space="preserve">Intake and assessment. </w:t>
      </w:r>
      <w:r>
        <w:rPr>
          <w:rFonts w:ascii="Times New Roman" w:hAnsi="Times New Roman"/>
          <w:b w:val="false"/>
          <w:i w:val="false"/>
          <w:color w:val="000000"/>
          <w:sz w:val="22"/>
        </w:rPr>
        <w:t>The case advocate shall perform intake and assessment procedures to triage disaster-related needs of eligible households.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advocate shall conduct an assessment specifically seeking targeted information to identify a client’s disaster-related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should focus on planning for recovery and meeting recovery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assessment should be conducted in person, when feasible, and should follow all standards for confidentiality and engagement.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11.28(6)</w:t>
      </w:r>
      <w:r>
        <w:rPr>
          <w:rFonts w:ascii="Times New Roman" w:hAnsi="Times New Roman"/>
          <w:b w:val="false"/>
          <w:i w:val="false"/>
          <w:color w:val="000000"/>
          <w:sz w:val="22"/>
        </w:rPr>
        <w:t> </w:t>
      </w:r>
      <w:r>
        <w:rPr>
          <w:rFonts w:ascii="Times New Roman" w:hAnsi="Times New Roman"/>
          <w:b w:val="false"/>
          <w:i/>
          <w:color w:val="000000"/>
          <w:sz w:val="22"/>
        </w:rPr>
        <w:t xml:space="preserve">Recovery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recovery plan should outline tasks for both the client and case advocate based on an assessment and documentation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should identify priority needs and connect the client with resources, establish benchmarks and goals to measure progress toward recovery, and outline a case closure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should be a joint effort between the case advocate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advocate should explain the available options, the resource and recovery alternatives, and the support services offered by the case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11.28(7)</w:t>
      </w:r>
      <w:r>
        <w:rPr>
          <w:rFonts w:ascii="Times New Roman" w:hAnsi="Times New Roman"/>
          <w:b w:val="false"/>
          <w:i w:val="false"/>
          <w:color w:val="000000"/>
          <w:sz w:val="22"/>
        </w:rPr>
        <w:t> </w:t>
      </w:r>
      <w:r>
        <w:rPr>
          <w:rFonts w:ascii="Times New Roman" w:hAnsi="Times New Roman"/>
          <w:b w:val="false"/>
          <w:i/>
          <w:color w:val="000000"/>
          <w:sz w:val="22"/>
        </w:rPr>
        <w:t xml:space="preserve">Action and advocacy. </w:t>
      </w:r>
      <w:r>
        <w:rPr>
          <w:rFonts w:ascii="Times New Roman" w:hAnsi="Times New Roman"/>
          <w:b w:val="false"/>
          <w:i w:val="false"/>
          <w:color w:val="000000"/>
          <w:sz w:val="22"/>
        </w:rPr>
        <w:t>The case advocate role in recovery includes providing, referring or arranging for needed services and resources; verifying unmet needs, completing documentation and checking duplication of benefits; and actively advocating for the client through presentation, participation in recovery groups and interface with government and nongovernment resource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11.28(8)</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Monitoring the services allows the case advocate to keep documents up to date, to determine if the chosen resources are providing the services needed, and to evaluate whether adjustments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11.28(9)</w:t>
      </w:r>
      <w:r>
        <w:rPr>
          <w:rFonts w:ascii="Times New Roman" w:hAnsi="Times New Roman"/>
          <w:b w:val="false"/>
          <w:i w:val="false"/>
          <w:color w:val="000000"/>
          <w:sz w:val="22"/>
        </w:rPr>
        <w:t> </w:t>
      </w:r>
      <w:r>
        <w:rPr>
          <w:rFonts w:ascii="Times New Roman" w:hAnsi="Times New Roman"/>
          <w:b w:val="false"/>
          <w:i/>
          <w:color w:val="000000"/>
          <w:sz w:val="22"/>
        </w:rPr>
        <w:t xml:space="preserve">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Closure procedures should be outlined in the recovery plan and the roles and responsibilities of the client and case advocate clearly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closure acknowledges the recovery goals achieved, recognizes the progress made toward unmet goals, and identifies needed resources to continue progress.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605—11.29</w:t>
      </w:r>
      <w:r>
        <w:rPr>
          <w:rFonts w:ascii="Times New Roman" w:hAnsi="Times New Roman"/>
          <w:b/>
          <w:i w:val="false"/>
          <w:color w:val="000000"/>
          <w:sz w:val="22"/>
        </w:rPr>
        <w:t xml:space="preserve">(29C) </w:t>
      </w:r>
      <w:r>
        <w:rPr>
          <w:rFonts w:ascii="Times New Roman" w:hAnsi="Times New Roman"/>
          <w:b/>
          <w:i w:val="false"/>
          <w:color w:val="000000"/>
          <w:sz w:val="22"/>
        </w:rPr>
        <w:t xml:space="preserve">Planning and training. </w:t>
      </w:r>
      <w:r>
        <w:rPr>
          <w:rFonts w:ascii="Times New Roman" w:hAnsi="Times New Roman"/>
          <w:b w:val="false"/>
          <w:i w:val="false"/>
          <w:color w:val="000000"/>
          <w:sz w:val="22"/>
        </w:rPr>
        <w:t>Training will adhere to the disaster case management criteria, as prescribed by the federal Administration for Children and Families as of March 25, 2026, and follow the disaster case advocacy guidelines as designed by the IDHRC or the approved rules of the department. The department shall request from the executive council of the state of Iowa funds to perform training in disaster case advocacy as requested and necessary to prepare for disaster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605—11.30</w:t>
      </w:r>
      <w:r>
        <w:rPr>
          <w:rFonts w:ascii="Times New Roman" w:hAnsi="Times New Roman"/>
          <w:b/>
          <w:i w:val="false"/>
          <w:color w:val="000000"/>
          <w:sz w:val="22"/>
        </w:rPr>
        <w:t xml:space="preserve">(29C) </w:t>
      </w:r>
      <w:r>
        <w:rPr>
          <w:rFonts w:ascii="Times New Roman" w:hAnsi="Times New Roman"/>
          <w:b/>
          <w:i w:val="false"/>
          <w:color w:val="000000"/>
          <w:sz w:val="22"/>
        </w:rPr>
        <w:t xml:space="preserve">Payment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11.30(1)</w:t>
      </w:r>
      <w:r>
        <w:rPr>
          <w:rFonts w:ascii="Times New Roman" w:hAnsi="Times New Roman"/>
          <w:b w:val="false"/>
          <w:i w:val="false"/>
          <w:color w:val="000000"/>
          <w:sz w:val="22"/>
        </w:rPr>
        <w:t> </w:t>
      </w:r>
      <w:r>
        <w:rPr>
          <w:rFonts w:ascii="Times New Roman" w:hAnsi="Times New Roman"/>
          <w:b w:val="false"/>
          <w:i w:val="false"/>
          <w:color w:val="000000"/>
          <w:sz w:val="22"/>
        </w:rPr>
        <w:t>The department will negotiate payment with the contracted entity when the contract is established. Payment will be based on the contracted entity’s actual direct and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11.30(2)</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the contracted entity’s federally approved indirect cost rates as required by the federal Office of Management and Budget (OMB).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11.30(3)</w:t>
      </w:r>
      <w:r>
        <w:rPr>
          <w:rFonts w:ascii="Times New Roman" w:hAnsi="Times New Roman"/>
          <w:b w:val="false"/>
          <w:i w:val="false"/>
          <w:color w:val="000000"/>
          <w:sz w:val="22"/>
        </w:rPr>
        <w:t> </w:t>
      </w:r>
      <w:r>
        <w:rPr>
          <w:rFonts w:ascii="Times New Roman" w:hAnsi="Times New Roman"/>
          <w:b w:val="false"/>
          <w:i w:val="false"/>
          <w:color w:val="000000"/>
          <w:sz w:val="22"/>
        </w:rPr>
        <w:t>The local administrative entity may draw down grant funding to pay valid claims on at least a weekly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11.30(4)</w:t>
      </w:r>
      <w:r>
        <w:rPr>
          <w:rFonts w:ascii="Times New Roman" w:hAnsi="Times New Roman"/>
          <w:b w:val="false"/>
          <w:i w:val="false"/>
          <w:color w:val="000000"/>
          <w:sz w:val="22"/>
        </w:rPr>
        <w:t> </w:t>
      </w:r>
      <w:r>
        <w:rPr>
          <w:rFonts w:ascii="Times New Roman" w:hAnsi="Times New Roman"/>
          <w:b w:val="false"/>
          <w:i w:val="false"/>
          <w:color w:val="000000"/>
          <w:sz w:val="22"/>
        </w:rPr>
        <w:t>Exhaustion of funds. The program shall be discontinued when the funds available for the program have been exhausted. The department will notify the contracted entity of the total available funds for the IDCA program once funds have been approved by the executive council. To ensure equitable treatment, assistance will be approved on a first-come, first-served basis until all funds have been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605—11.31</w:t>
      </w:r>
      <w:r>
        <w:rPr>
          <w:rFonts w:ascii="Times New Roman" w:hAnsi="Times New Roman"/>
          <w:b/>
          <w:i w:val="false"/>
          <w:color w:val="000000"/>
          <w:sz w:val="22"/>
        </w:rPr>
        <w:t xml:space="preserve">(29C)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household may request reconsideration of decisions regarding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reconsideration, the household shall submit a written request to the Iowa Department of Homeland Security and Emergency Management, 7900 Hickman Road, Windsor Heights, Iowa 50324, within 30 days of the date of the letter notifying the household of the contracted entity’s decision. Reconsiderations will also be accepted electronically via the process detailed in the initial notice of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any additional evidence or documentation submitted and issue a reconsideration decision within 30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household may appeal the department’s reconsideration decision according to procedures in </w:t>
      </w:r>
      <w:hyperlink r:id="rId21">
        <w:r>
          <w:rPr>
            <w:rStyle w:val="Hyperlink"/>
            <w:rFonts w:ascii="Times New Roman" w:hAnsi="Times New Roman"/>
            <w:b w:val="false"/>
            <w:i w:val="false"/>
            <w:color w:val="000000"/>
            <w:sz w:val="22"/>
          </w:rPr>
          <w:t>605—Chapter 2</w:t>
        </w:r>
      </w:hyperlink>
      <w:r>
        <w:rPr>
          <w:rFonts w:ascii="Times New Roman" w:hAnsi="Times New Roman"/>
          <w:b w:val="false"/>
          <w:i w:val="false"/>
          <w:color w:val="000000"/>
          <w:sz w:val="22"/>
        </w:rPr>
        <w:t xml:space="preserve"> and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must be submitted in writing to the Iowa Department of Homeland Security and Emergency Management, 7900 Hickman Road, Windsor Heights, Iowa 50324, within 30 days of the date of the reconsideration decision. Written appeals will also be accepted electronically via the process detailed in the notice of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appeal is filed on the date the envelope sent to the department is postmarked or, when the postmarked envelope is not available, on the date the appeal is stamped received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0073D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2">
        <w:r>
          <w:rPr>
            <w:rStyle w:val="Hyperlink"/>
            <w:rFonts w:ascii="Times New Roman" w:hAnsi="Times New Roman"/>
            <w:b w:val="false"/>
            <w:i w:val="false"/>
            <w:color w:val="000000"/>
            <w:sz w:val="22"/>
          </w:rPr>
          <w:t>29C.20B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10/12/90 after Notice 8/22/90—published 10/31/90,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5/14/92, Notice 3/18/92—published 6/10/92, effective 8/1/92]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3/5/07—published 3/28/07, effective 3/5/07]</w:t>
      </w:r>
    </w:p>
    <w:p>
      <w:pPr>
        <w:spacing w:before="0" w:after="0"/>
        <w:ind w:left="120"/>
        <w:jc w:val="center"/>
      </w:pPr>
      <w:r>
        <w:rPr>
          <w:rFonts w:ascii="Times New Roman" w:hAnsi="Times New Roman"/>
          <w:b w:val="false"/>
          <w:i w:val="false"/>
          <w:color w:val="000000"/>
          <w:sz w:val="21"/>
        </w:rPr>
        <w:t>[Filed emergency 6/13/07 after Notice 3/28/07—published 7/4/07, effective 7/1/07]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7577B</w:t>
      </w:r>
      <w:r>
        <w:rPr>
          <w:rFonts w:ascii="Times New Roman" w:hAnsi="Times New Roman"/>
          <w:b w:val="false"/>
          <w:i w:val="false"/>
          <w:color w:val="000000"/>
          <w:sz w:val="21"/>
        </w:rPr>
        <w:t xml:space="preserve"> (Notice ARC 6995B, IAB 7/30/08)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Emergency ARC 7603B, IAB 3/11/09, effective 2/11/09]</w:t>
      </w:r>
    </w:p>
    <w:p>
      <w:pPr>
        <w:spacing w:before="0" w:after="0"/>
        <w:ind w:left="120"/>
        <w:jc w:val="center"/>
      </w:pPr>
      <w:r>
        <w:rPr>
          <w:rFonts w:ascii="Times New Roman" w:hAnsi="Times New Roman"/>
          <w:b w:val="false"/>
          <w:i w:val="false"/>
          <w:color w:val="000000"/>
          <w:sz w:val="21"/>
        </w:rPr>
        <w:t>[Filed Emergency ARC 7641B, IAB 3/25/09, effective 3/1/09]</w:t>
      </w:r>
    </w:p>
    <w:p>
      <w:pPr>
        <w:spacing w:before="0" w:after="0"/>
        <w:ind w:left="120"/>
        <w:jc w:val="center"/>
      </w:pPr>
      <w:r>
        <w:rPr>
          <w:rFonts w:ascii="Times New Roman" w:hAnsi="Times New Roman"/>
          <w:b w:val="false"/>
          <w:i w:val="false"/>
          <w:color w:val="000000"/>
          <w:sz w:val="21"/>
        </w:rPr>
        <w:t>[Filed ARC 7830B</w:t>
      </w:r>
      <w:r>
        <w:rPr>
          <w:rFonts w:ascii="Times New Roman" w:hAnsi="Times New Roman"/>
          <w:b w:val="false"/>
          <w:i w:val="false"/>
          <w:color w:val="000000"/>
          <w:sz w:val="21"/>
        </w:rPr>
        <w:t xml:space="preserve"> (Notice ARC 7642B,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8007B</w:t>
      </w:r>
      <w:r>
        <w:rPr>
          <w:rFonts w:ascii="Times New Roman" w:hAnsi="Times New Roman"/>
          <w:b w:val="false"/>
          <w:i w:val="false"/>
          <w:color w:val="000000"/>
          <w:sz w:val="21"/>
        </w:rPr>
        <w:t xml:space="preserve"> (Notice ARC 7604B, IAB 3/11/09)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8640B</w:t>
      </w:r>
      <w:r>
        <w:rPr>
          <w:rFonts w:ascii="Times New Roman" w:hAnsi="Times New Roman"/>
          <w:b w:val="false"/>
          <w:i w:val="false"/>
          <w:color w:val="000000"/>
          <w:sz w:val="21"/>
        </w:rPr>
        <w:t xml:space="preserve"> (Notice ARC 8460B,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Emergency ARC 9130B, IAB 10/6/10, effective 9/15/10]</w:t>
      </w:r>
      <w:r>
        <w:br/>
      </w:r>
      <w:r>
        <w:rPr>
          <w:rFonts w:ascii="Times New Roman" w:hAnsi="Times New Roman"/>
          <w:b w:val="false"/>
          <w:i w:val="false"/>
          <w:color w:val="000000"/>
          <w:sz w:val="21"/>
        </w:rPr>
        <w:t>[Filed Emergency ARC 9128B, IAB 10/6/10, effective 10/1/10]</w:t>
      </w:r>
    </w:p>
    <w:p>
      <w:pPr>
        <w:spacing w:before="0" w:after="0"/>
        <w:ind w:left="120"/>
        <w:jc w:val="center"/>
      </w:pPr>
      <w:r>
        <w:rPr>
          <w:rFonts w:ascii="Times New Roman" w:hAnsi="Times New Roman"/>
          <w:b w:val="false"/>
          <w:i w:val="false"/>
          <w:color w:val="000000"/>
          <w:sz w:val="21"/>
        </w:rPr>
        <w:t>[Filed ARC 9313B</w:t>
      </w:r>
      <w:r>
        <w:rPr>
          <w:rFonts w:ascii="Times New Roman" w:hAnsi="Times New Roman"/>
          <w:b w:val="false"/>
          <w:i w:val="false"/>
          <w:color w:val="000000"/>
          <w:sz w:val="21"/>
        </w:rPr>
        <w:t xml:space="preserve"> (Notice ARC 9131B,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9312B</w:t>
      </w:r>
      <w:r>
        <w:rPr>
          <w:rFonts w:ascii="Times New Roman" w:hAnsi="Times New Roman"/>
          <w:b w:val="false"/>
          <w:i w:val="false"/>
          <w:color w:val="000000"/>
          <w:sz w:val="21"/>
        </w:rPr>
        <w:t xml:space="preserve"> (Notice ARC 9129B, IAB 10/6/10)</w:t>
      </w:r>
      <w:r>
        <w:rPr>
          <w:rFonts w:ascii="Times New Roman" w:hAnsi="Times New Roman"/>
          <w:b w:val="false"/>
          <w:i w:val="false"/>
          <w:color w:val="000000"/>
          <w:sz w:val="21"/>
        </w:rPr>
        <w:t>, IAB 12/29/10, effective 3/1/11]</w:t>
      </w:r>
    </w:p>
    <w:p>
      <w:pPr>
        <w:spacing w:before="0" w:after="0"/>
        <w:ind w:left="120"/>
        <w:jc w:val="center"/>
      </w:pPr>
      <w:r>
        <w:rPr>
          <w:rFonts w:ascii="Times New Roman" w:hAnsi="Times New Roman"/>
          <w:b w:val="false"/>
          <w:i w:val="false"/>
          <w:color w:val="000000"/>
          <w:sz w:val="21"/>
        </w:rPr>
        <w:t>[Filed ARC 1353C</w:t>
      </w:r>
      <w:r>
        <w:rPr>
          <w:rFonts w:ascii="Times New Roman" w:hAnsi="Times New Roman"/>
          <w:b w:val="false"/>
          <w:i w:val="false"/>
          <w:color w:val="000000"/>
          <w:sz w:val="21"/>
        </w:rPr>
        <w:t xml:space="preserve"> (Notice ARC 1257C, IAB 12/25/13)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3058C</w:t>
      </w:r>
      <w:r>
        <w:rPr>
          <w:rFonts w:ascii="Times New Roman" w:hAnsi="Times New Roman"/>
          <w:b w:val="false"/>
          <w:i w:val="false"/>
          <w:color w:val="000000"/>
          <w:sz w:val="21"/>
        </w:rPr>
        <w:t xml:space="preserve"> (Notice ARC 2898C, IAB 1/18/17)</w:t>
      </w:r>
      <w:r>
        <w:rPr>
          <w:rFonts w:ascii="Times New Roman" w:hAnsi="Times New Roman"/>
          <w:b w:val="false"/>
          <w:i w:val="false"/>
          <w:color w:val="000000"/>
          <w:sz w:val="21"/>
        </w:rPr>
        <w:t>, IAB 5/10/17, effective 7/1/17]</w:t>
      </w:r>
    </w:p>
    <w:p>
      <w:pPr>
        <w:spacing w:before="0" w:after="0"/>
        <w:ind w:left="120"/>
        <w:jc w:val="center"/>
      </w:pPr>
      <w:r>
        <w:rPr>
          <w:rFonts w:ascii="Times New Roman" w:hAnsi="Times New Roman"/>
          <w:b w:val="false"/>
          <w:i w:val="false"/>
          <w:color w:val="000000"/>
          <w:sz w:val="21"/>
        </w:rPr>
        <w:t>[Filed ARC 5596C</w:t>
      </w:r>
      <w:r>
        <w:rPr>
          <w:rFonts w:ascii="Times New Roman" w:hAnsi="Times New Roman"/>
          <w:b w:val="false"/>
          <w:i w:val="false"/>
          <w:color w:val="000000"/>
          <w:sz w:val="21"/>
        </w:rPr>
        <w:t xml:space="preserve"> (Notice ARC 5471C, IAB 2/24/21)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6850C</w:t>
      </w:r>
      <w:r>
        <w:rPr>
          <w:rFonts w:ascii="Times New Roman" w:hAnsi="Times New Roman"/>
          <w:b w:val="false"/>
          <w:i w:val="false"/>
          <w:color w:val="000000"/>
          <w:sz w:val="21"/>
        </w:rPr>
        <w:t xml:space="preserve"> (Notice ARC 6690C,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[Filed ARC 0073D</w:t>
      </w:r>
      <w:r>
        <w:rPr>
          <w:rFonts w:ascii="Times New Roman" w:hAnsi="Times New Roman"/>
          <w:b w:val="false"/>
          <w:i w:val="false"/>
          <w:color w:val="000000"/>
          <w:sz w:val="21"/>
        </w:rPr>
        <w:t xml:space="preserve"> (Notice ARC 9824C, IAB 12/24/25)</w:t>
      </w:r>
      <w:r>
        <w:rPr>
          <w:rFonts w:ascii="Times New Roman" w:hAnsi="Times New Roman"/>
          <w:b w:val="false"/>
          <w:i w:val="false"/>
          <w:color w:val="000000"/>
          <w:sz w:val="21"/>
        </w:rPr>
        <w:t>, IAB 2/18/26, effective 3/25/26]</w:t>
      </w:r>
    </w:p>
    <w:sectPr>
      <w:footerReference r:id="rId2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29C.2.pdf" Type="http://schemas.openxmlformats.org/officeDocument/2006/relationships/hyperlink" Id="rId6"/>
    <Relationship TargetMode="External" Target="https://www.legis.iowa.gov/docs/ico/chapter/29C.9.pdf" Type="http://schemas.openxmlformats.org/officeDocument/2006/relationships/hyperlink" Id="rId7"/>
    <Relationship TargetMode="External" Target="https://www.legis.iowa.gov/docs/ico/chapter/29C.10.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435.1.pdf" Type="http://schemas.openxmlformats.org/officeDocument/2006/relationships/hyperlink" Id="rId10"/>
    <Relationship TargetMode="External" Target="https://www.legis.iowa.gov/docs/ico/chapter/435.1.pdf" Type="http://schemas.openxmlformats.org/officeDocument/2006/relationships/hyperlink" Id="rId11"/>
    <Relationship TargetMode="External" Target="https://www.legis.iowa.gov/docs/ico/chapter/435.1.pdf" Type="http://schemas.openxmlformats.org/officeDocument/2006/relationships/hyperlink" Id="rId12"/>
    <Relationship TargetMode="External" Target="https://www.legis.iowa.gov/docs/iac/rule/605.1.2.pdf" Type="http://schemas.openxmlformats.org/officeDocument/2006/relationships/hyperlink" Id="rId13"/>
    <Relationship TargetMode="External" Target="https://www.legis.iowa.gov/docs/ico/chapter/321.1.pdf" Type="http://schemas.openxmlformats.org/officeDocument/2006/relationships/hyperlink" Id="rId14"/>
    <Relationship TargetMode="External" Target="https://www.legis.iowa.gov/docs/ico/chapter/321.1.pdf" Type="http://schemas.openxmlformats.org/officeDocument/2006/relationships/hyperlink" Id="rId15"/>
    <Relationship TargetMode="External" Target="http://homelandsecurity.iowa.gov" Type="http://schemas.openxmlformats.org/officeDocument/2006/relationships/hyperlink" Id="rId16"/>
    <Relationship TargetMode="External" Target="https://www.legis.iowa.gov/docs/iac/chapter/605.2.pdf" Type="http://schemas.openxmlformats.org/officeDocument/2006/relationships/hyperlink" Id="rId17"/>
    <Relationship TargetMode="External" Target="https://www.legis.iowa.gov/docs/ico/chapter/29C.20A.pdf" Type="http://schemas.openxmlformats.org/officeDocument/2006/relationships/hyperlink" Id="rId18"/>
    <Relationship TargetMode="External" Target="https://www.legis.iowa.gov/docs/ico/chapter/29C.9.pdf" Type="http://schemas.openxmlformats.org/officeDocument/2006/relationships/hyperlink" Id="rId19"/>
    <Relationship TargetMode="External" Target="https://www.legis.iowa.gov/docs/ico/chapter/29C.10.pdf" Type="http://schemas.openxmlformats.org/officeDocument/2006/relationships/hyperlink" Id="rId20"/>
    <Relationship TargetMode="External" Target="https://www.legis.iowa.gov/docs/iac/chapter/605.2.pdf" Type="http://schemas.openxmlformats.org/officeDocument/2006/relationships/hyperlink" Id="rId21"/>
    <Relationship TargetMode="External" Target="https://www.legis.iowa.gov/docs/ico/chapter/29C.20B.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