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98</w:t>
      </w:r>
    </w:p>
    <w:p>
      <w:pPr>
        <w:spacing w:before="0" w:after="0"/>
        <w:ind w:left="120"/>
        <w:jc w:val="center"/>
      </w:pPr>
      <w:r>
        <w:rPr>
          <w:rFonts w:ascii="Times New Roman" w:hAnsi="Times New Roman"/>
          <w:b w:val="false"/>
          <w:i w:val="false"/>
          <w:color w:val="000000"/>
          <w:sz w:val="21"/>
        </w:rPr>
        <w:t>WILD TURKEY HUNTING</w:t>
      </w:r>
    </w:p>
    <w:p>
      <w:pPr>
        <w:spacing w:before="0" w:after="0"/>
        <w:ind w:left="120"/>
        <w:jc w:val="center"/>
      </w:pPr>
      <w:r>
        <w:rPr>
          <w:rFonts w:ascii="Times New Roman" w:hAnsi="Times New Roman"/>
          <w:b w:val="false"/>
          <w:i w:val="false"/>
          <w:color w:val="000000"/>
          <w:sz w:val="14"/>
        </w:rPr>
        <w:t>[Prior to 12/31/86, Conservation Commission[290] Ch 111]</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pBdr>
          <w:top w:space="10"/>
        </w:pBdr>
        <w:spacing w:before="0" w:after="0"/>
        <w:ind w:left="120"/>
        <w:jc w:val="center"/>
      </w:pPr>
      <w:r>
        <w:rPr>
          <w:rFonts w:ascii="Times New Roman" w:hAnsi="Times New Roman"/>
          <w:b w:val="false"/>
          <w:i w:val="false"/>
          <w:color w:val="000000"/>
          <w:sz w:val="16"/>
        </w:rPr>
        <w:t>RESIDENT WILD TURKEY HUNTING</w:t>
      </w:r>
    </w:p>
    <w:p>
      <w:pPr>
        <w:spacing w:before="0" w:after="0"/>
        <w:ind w:left="120"/>
        <w:jc w:val="both"/>
      </w:pPr>
      <w:r>
        <w:rPr>
          <w:rFonts w:ascii="Times New Roman" w:hAnsi="Times New Roman"/>
          <w:b/>
          <w:i w:val="false"/>
          <w:color w:val="000000"/>
          <w:sz w:val="22"/>
        </w:rPr>
        <w:t>571—98.1</w:t>
      </w:r>
      <w:r>
        <w:rPr>
          <w:rFonts w:ascii="Times New Roman" w:hAnsi="Times New Roman"/>
          <w:b/>
          <w:i w:val="false"/>
          <w:color w:val="000000"/>
          <w:sz w:val="22"/>
        </w:rPr>
        <w:t xml:space="preserve">(483A) </w:t>
      </w:r>
      <w:r>
        <w:rPr>
          <w:rFonts w:ascii="Times New Roman" w:hAnsi="Times New Roman"/>
          <w:b/>
          <w:i w:val="false"/>
          <w:color w:val="000000"/>
          <w:sz w:val="22"/>
        </w:rPr>
        <w:t xml:space="preserve">General. </w:t>
      </w:r>
      <w:r>
        <w:rPr>
          <w:rFonts w:ascii="Times New Roman" w:hAnsi="Times New Roman"/>
          <w:b w:val="false"/>
          <w:i w:val="false"/>
          <w:color w:val="000000"/>
          <w:sz w:val="22"/>
        </w:rPr>
        <w:t>Wild turkey may be taken during the spring or fall season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98.1(1)</w:t>
      </w: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 xml:space="preserve">When hunting wild turkey, all hunters must have in possession a wild turkey hunting license valid for the current year and season, the unused transportation tag issued with that license, a hunting license, and evidence of having paid the habitat fee (if normally required to have a hunting license and to pay the habitat fee to hunt). No one, while hunting wild turkey, shall carry or have in possession any license or transportation tag issued to another hunter. No one who is issued a wild turkey license and transportation tag shall allow another person to use or possess that license or transportation tag while turkey hunting or tagging a turkey. A hunter having a license valid for one of the spring turkey seasons may accompany, call for, or otherwise assist any other hunter who has a valid turkey hunting license for any of the spring seasons. The hunter who is assisting may not shoot a turkey or carry a firearm or bow unless the hunter has a valid license with an unused tag for the current season. Licenses for the fall turkey season will only be issued to Iowa residents, except as specified in </w:t>
      </w:r>
      <w:hyperlink r:id="rId5">
        <w:r>
          <w:rPr>
            <w:rStyle w:val="Hyperlink"/>
            <w:rFonts w:ascii="Times New Roman" w:hAnsi="Times New Roman"/>
            <w:b w:val="false"/>
            <w:i w:val="false"/>
            <w:color w:val="000000"/>
            <w:sz w:val="22"/>
          </w:rPr>
          <w:t>98.9(5)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Types of spring licenses.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Combination shotgun-or-archery license. Combination shotgun-or-archery licenses shall be issued by season and shall be valid statewide in the designated season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Archery-only license. Archery-only licenses shall be valid statewide and shall be valid during all seasons open for spring turkey hunting, except the youth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Number of spring licenses. </w:t>
      </w:r>
      <w:r>
        <w:rPr>
          <w:rFonts w:ascii="Times New Roman" w:hAnsi="Times New Roman"/>
          <w:b w:val="false"/>
          <w:i w:val="false"/>
          <w:color w:val="000000"/>
          <w:sz w:val="22"/>
        </w:rPr>
        <w:t>No one may apply for or obtain more than two spring wild turkey hunting licenses. A hunter may obtain no more than two combination shotgun-or-archery licenses, or two archery-only licenses, or one of each. If two combination shotgun-or-archery licenses are obtained, at least one must be for season 4. If one combination shotgun-or-archery license and one archery-only license are obtained, the combination shotgun-or-archery license must be for season 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Types of fall licenses.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Combination shotgun-or-archery licenses. Combination shotgun-or-archery licenses shall be valid for taking turkeys of either sex in the zone designated on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Archery-only licenses. Archery-only licenses shall be valid statewide for taking turkeys of either sex.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Number of fall licenses. </w:t>
      </w:r>
      <w:r>
        <w:rPr>
          <w:rFonts w:ascii="Times New Roman" w:hAnsi="Times New Roman"/>
          <w:b w:val="false"/>
          <w:i w:val="false"/>
          <w:color w:val="000000"/>
          <w:sz w:val="22"/>
        </w:rPr>
        <w:t xml:space="preserve">No one may apply for or obtain more than two wild turkey fall hunting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w:t>
      </w:r>
      <w:r>
        <w:rPr>
          <w:rFonts w:ascii="Times New Roman" w:hAnsi="Times New Roman"/>
          <w:b w:val="false"/>
          <w:i w:val="false"/>
          <w:color w:val="000000"/>
          <w:sz w:val="22"/>
        </w:rPr>
        <w:t> </w:t>
      </w:r>
      <w:r>
        <w:rPr>
          <w:rFonts w:ascii="Times New Roman" w:hAnsi="Times New Roman"/>
          <w:b w:val="false"/>
          <w:i/>
          <w:color w:val="000000"/>
          <w:sz w:val="22"/>
        </w:rPr>
        <w:t xml:space="preserve">Daily bag and possession limit. </w:t>
      </w:r>
      <w:r>
        <w:rPr>
          <w:rFonts w:ascii="Times New Roman" w:hAnsi="Times New Roman"/>
          <w:b w:val="false"/>
          <w:i w:val="false"/>
          <w:color w:val="000000"/>
          <w:sz w:val="22"/>
        </w:rPr>
        <w:t>Season possession limit, including daily bag limit, is one bearded (or male) wild turkey per spring license. Season possession limit, including daily bag limit, is one turkey of either sex per fall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98.1(3)</w:t>
      </w:r>
      <w:r>
        <w:rPr>
          <w:rFonts w:ascii="Times New Roman" w:hAnsi="Times New Roman"/>
          <w:b w:val="false"/>
          <w:i w:val="false"/>
          <w:color w:val="000000"/>
          <w:sz w:val="22"/>
        </w:rPr>
        <w:t> </w:t>
      </w:r>
      <w:r>
        <w:rPr>
          <w:rFonts w:ascii="Times New Roman" w:hAnsi="Times New Roman"/>
          <w:b w:val="false"/>
          <w:i/>
          <w:color w:val="000000"/>
          <w:sz w:val="22"/>
        </w:rPr>
        <w:t xml:space="preserve">Shooting hours. </w:t>
      </w:r>
      <w:r>
        <w:rPr>
          <w:rFonts w:ascii="Times New Roman" w:hAnsi="Times New Roman"/>
          <w:b w:val="false"/>
          <w:i w:val="false"/>
          <w:color w:val="000000"/>
          <w:sz w:val="22"/>
        </w:rPr>
        <w:t>Shooting hours for combination shotgun-archery licenses and spring archery-only licenses shall be from one-half hour before sunrise to sunset. Shooting hours for fall archery-only licenses shall be from one-half hour before sunrise to one-half hour after sunset.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i w:val="false"/>
          <w:color w:val="000000"/>
          <w:sz w:val="16"/>
        </w:rPr>
        <w:t>ARC 0281D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571—98.2</w:t>
      </w:r>
      <w:r>
        <w:rPr>
          <w:rFonts w:ascii="Times New Roman" w:hAnsi="Times New Roman"/>
          <w:b/>
          <w:i w:val="false"/>
          <w:color w:val="000000"/>
          <w:sz w:val="22"/>
        </w:rPr>
        <w:t xml:space="preserve">(483A) </w:t>
      </w:r>
      <w:r>
        <w:rPr>
          <w:rFonts w:ascii="Times New Roman" w:hAnsi="Times New Roman"/>
          <w:b/>
          <w:i w:val="false"/>
          <w:color w:val="000000"/>
          <w:sz w:val="22"/>
        </w:rPr>
        <w:t xml:space="preserve">Means and method of take.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98.2(1)</w:t>
      </w:r>
      <w:r>
        <w:rPr>
          <w:rFonts w:ascii="Times New Roman" w:hAnsi="Times New Roman"/>
          <w:b w:val="false"/>
          <w:i w:val="false"/>
          <w:color w:val="000000"/>
          <w:sz w:val="22"/>
        </w:rPr>
        <w:t> </w:t>
      </w:r>
      <w:r>
        <w:rPr>
          <w:rFonts w:ascii="Times New Roman" w:hAnsi="Times New Roman"/>
          <w:b w:val="false"/>
          <w:i/>
          <w:color w:val="000000"/>
          <w:sz w:val="22"/>
        </w:rPr>
        <w:t xml:space="preserve">Permitted weapons. </w:t>
      </w:r>
      <w:r>
        <w:rPr>
          <w:rFonts w:ascii="Times New Roman" w:hAnsi="Times New Roman"/>
          <w:b w:val="false"/>
          <w:i w:val="false"/>
          <w:color w:val="000000"/>
          <w:sz w:val="22"/>
        </w:rPr>
        <w:t>Wild turkey may be taken in accordance with the type of license issued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Combination shotgun-or-archery license. </w:t>
      </w:r>
      <w:r>
        <w:rPr>
          <w:rFonts w:ascii="Times New Roman" w:hAnsi="Times New Roman"/>
          <w:b w:val="false"/>
          <w:i w:val="false"/>
          <w:color w:val="000000"/>
          <w:sz w:val="22"/>
        </w:rPr>
        <w:t xml:space="preserve">Wild turkey may be taken by shotgun or muzzleloading shotgun not smaller than caliber .410 and shooting only shot sizes number 4 through 10 (lead or nontoxic) shot; or archery equipment as described in </w:t>
      </w:r>
      <w:hyperlink r:id="rId6">
        <w:r>
          <w:rPr>
            <w:rStyle w:val="Hyperlink"/>
            <w:rFonts w:ascii="Times New Roman" w:hAnsi="Times New Roman"/>
            <w:b w:val="false"/>
            <w:i w:val="false"/>
            <w:color w:val="000000"/>
            <w:sz w:val="22"/>
          </w:rPr>
          <w:t>98.2(1)</w:t>
        </w:r>
      </w:hyperlink>
      <w:r>
        <w:rPr>
          <w:rFonts w:ascii="Times New Roman" w:hAnsi="Times New Roman"/>
          <w:b w:val="false"/>
          <w:i/>
          <w:color w:val="000000"/>
          <w:sz w:val="22"/>
        </w:rPr>
        <w:t>“b.”</w:t>
      </w:r>
      <w:r>
        <w:rPr>
          <w:rFonts w:ascii="Times New Roman" w:hAnsi="Times New Roman"/>
          <w:b w:val="false"/>
          <w:i w:val="false"/>
          <w:color w:val="000000"/>
          <w:sz w:val="22"/>
        </w:rPr>
        <w:t xml:space="preserve"> A person shall not have shotshells containing shot of any size other than number 4 through 10 (lead or nontoxic) shot on the person while hunting wild turkey.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Archery-only license. </w:t>
      </w:r>
      <w:r>
        <w:rPr>
          <w:rFonts w:ascii="Times New Roman" w:hAnsi="Times New Roman"/>
          <w:b w:val="false"/>
          <w:i w:val="false"/>
          <w:color w:val="000000"/>
          <w:sz w:val="22"/>
        </w:rPr>
        <w:t xml:space="preserve">Except for crossbows for persons with certain afflictions of the upper body, as provided in </w:t>
      </w:r>
      <w:hyperlink r:id="rId7">
        <w:r>
          <w:rPr>
            <w:rStyle w:val="Hyperlink"/>
            <w:rFonts w:ascii="Times New Roman" w:hAnsi="Times New Roman"/>
            <w:b w:val="false"/>
            <w:i w:val="false"/>
            <w:color w:val="000000"/>
            <w:sz w:val="22"/>
          </w:rPr>
          <w:t>571—15.22</w:t>
        </w:r>
      </w:hyperlink>
      <w:r>
        <w:rPr>
          <w:rFonts w:ascii="Times New Roman" w:hAnsi="Times New Roman"/>
          <w:b w:val="false"/>
          <w:i w:val="false"/>
          <w:color w:val="000000"/>
          <w:sz w:val="22"/>
        </w:rPr>
        <w:t xml:space="preserve">(481A), only longbows, compound bows, or recurve bows shooting broadhead arrows are permitted. Blunthead arrows with a minimum diameter of 9/16 inch may also be used. Arrows must be at least 18 inches long. Arrows with chemical or explosive pods are not permitted.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98.2(2)</w:t>
      </w:r>
      <w:r>
        <w:rPr>
          <w:rFonts w:ascii="Times New Roman" w:hAnsi="Times New Roman"/>
          <w:b w:val="false"/>
          <w:i w:val="false"/>
          <w:color w:val="000000"/>
          <w:sz w:val="22"/>
        </w:rPr>
        <w:t> </w:t>
      </w:r>
      <w:r>
        <w:rPr>
          <w:rFonts w:ascii="Times New Roman" w:hAnsi="Times New Roman"/>
          <w:b w:val="false"/>
          <w:i/>
          <w:color w:val="000000"/>
          <w:sz w:val="22"/>
        </w:rPr>
        <w:t xml:space="preserve">Prohibited devices. </w:t>
      </w:r>
      <w:r>
        <w:rPr>
          <w:rFonts w:ascii="Times New Roman" w:hAnsi="Times New Roman"/>
          <w:b w:val="false"/>
          <w:i w:val="false"/>
          <w:color w:val="000000"/>
          <w:sz w:val="22"/>
        </w:rPr>
        <w:t xml:space="preserve">The use of live decoys, dogs (except for fall licenses), horses, motorized vehicles, aircraft, bait, or crossbows, except as otherwise provided, and the use or aid of recorded or electronically amplified bird calls or sounds, or recorded or electronically amplified imitations of bird calls or sounds, are prohibited. Paraplegics and single or double amputees of the legs may hunt from any stationary motor-driven land conveyance. “Paraplegic” means an individual afflicted with paralysis of the lower half of the body with the involvement of both legs, usually due to disease of or injury to the spinal cord. “Bait” means grain, fruit, vegetables, nuts or any other natural food materials; commercial products containing natural food products; or by-products of such materials transported to or placed in an area for the intent of attracting wildlife.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98.2(3)</w:t>
      </w:r>
      <w:r>
        <w:rPr>
          <w:rFonts w:ascii="Times New Roman" w:hAnsi="Times New Roman"/>
          <w:b w:val="false"/>
          <w:i w:val="false"/>
          <w:color w:val="000000"/>
          <w:sz w:val="22"/>
        </w:rPr>
        <w:t> </w:t>
      </w:r>
      <w:r>
        <w:rPr>
          <w:rFonts w:ascii="Times New Roman" w:hAnsi="Times New Roman"/>
          <w:b w:val="false"/>
          <w:i/>
          <w:color w:val="000000"/>
          <w:sz w:val="22"/>
        </w:rPr>
        <w:t xml:space="preserve">Zones, quotas and seasons. </w:t>
      </w:r>
      <w:r>
        <w:rPr>
          <w:rFonts w:ascii="Times New Roman" w:hAnsi="Times New Roman"/>
          <w:b w:val="false"/>
          <w:i w:val="false"/>
          <w:color w:val="000000"/>
          <w:sz w:val="22"/>
        </w:rPr>
        <w:t>A person with a resident wild turkey spring hunting license may take wild turkey statewide during the spring seasons. Fall resident hunting is limited to zones and permits as designated by the natural resource commission. Fall resident zones and quotas for combination shotgun-or-archery licenses will be issued by zone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Zone 4: 1,500.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Zone 5: 650.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Zone 6: 1,400.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Zone 7: 250.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Zone 8: 200.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Zone 9: 200.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98.2(4)</w:t>
      </w:r>
      <w:r>
        <w:rPr>
          <w:rFonts w:ascii="Times New Roman" w:hAnsi="Times New Roman"/>
          <w:b w:val="false"/>
          <w:i w:val="false"/>
          <w:color w:val="000000"/>
          <w:sz w:val="22"/>
        </w:rPr>
        <w:t> </w:t>
      </w:r>
      <w:r>
        <w:rPr>
          <w:rFonts w:ascii="Times New Roman" w:hAnsi="Times New Roman"/>
          <w:b w:val="false"/>
          <w:i/>
          <w:color w:val="000000"/>
          <w:sz w:val="22"/>
        </w:rPr>
        <w:t xml:space="preserve">Archery-only licenses. </w:t>
      </w:r>
      <w:r>
        <w:rPr>
          <w:rFonts w:ascii="Times New Roman" w:hAnsi="Times New Roman"/>
          <w:b w:val="false"/>
          <w:i w:val="false"/>
          <w:color w:val="000000"/>
          <w:sz w:val="22"/>
        </w:rPr>
        <w:t>The total number of available fall archery-only licenses shall not be limited by zones or quotas.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w:t>
      </w:r>
      <w:r>
        <w:rPr>
          <w:rFonts w:ascii="Times New Roman" w:hAnsi="Times New Roman"/>
          <w:b w:val="false"/>
          <w:i w:val="false"/>
          <w:color w:val="000000"/>
          <w:sz w:val="22"/>
        </w:rPr>
        <w:t> </w:t>
      </w:r>
      <w:r>
        <w:rPr>
          <w:rFonts w:ascii="Times New Roman" w:hAnsi="Times New Roman"/>
          <w:b w:val="false"/>
          <w:i/>
          <w:color w:val="000000"/>
          <w:sz w:val="22"/>
        </w:rPr>
        <w:t xml:space="preserve">Landowner/tenant licenses. </w:t>
      </w:r>
      <w:r>
        <w:rPr>
          <w:rFonts w:ascii="Times New Roman" w:hAnsi="Times New Roman"/>
          <w:b w:val="false"/>
          <w:i w:val="false"/>
          <w:color w:val="000000"/>
          <w:sz w:val="22"/>
        </w:rPr>
        <w:t>The total number of available fall landowner/tenant licenses shall not be limited by zones or quotas.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98.2(6)</w:t>
      </w:r>
      <w:r>
        <w:rPr>
          <w:rFonts w:ascii="Times New Roman" w:hAnsi="Times New Roman"/>
          <w:b w:val="false"/>
          <w:i w:val="false"/>
          <w:color w:val="000000"/>
          <w:sz w:val="22"/>
        </w:rPr>
        <w:t> </w:t>
      </w:r>
      <w:r>
        <w:rPr>
          <w:rFonts w:ascii="Times New Roman" w:hAnsi="Times New Roman"/>
          <w:b w:val="false"/>
          <w:i/>
          <w:color w:val="000000"/>
          <w:sz w:val="22"/>
        </w:rPr>
        <w:t xml:space="preserve">Additional licenses. </w:t>
      </w:r>
      <w:r>
        <w:rPr>
          <w:rFonts w:ascii="Times New Roman" w:hAnsi="Times New Roman"/>
          <w:b w:val="false"/>
          <w:i w:val="false"/>
          <w:color w:val="000000"/>
          <w:sz w:val="22"/>
        </w:rPr>
        <w:t>Additional combination shotgun-or-archery licenses may be added to zone quotas if turkey surveys indicate that annual brood production and turkey populations are high enough to warrant additional hunting opportunity. The licenses will be added at the discretion of the commission upon advice from the wildlife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98.2(7)</w:t>
      </w:r>
      <w:r>
        <w:rPr>
          <w:rFonts w:ascii="Times New Roman" w:hAnsi="Times New Roman"/>
          <w:b w:val="false"/>
          <w:i w:val="false"/>
          <w:color w:val="000000"/>
          <w:sz w:val="22"/>
        </w:rPr>
        <w:t> </w:t>
      </w:r>
      <w:r>
        <w:rPr>
          <w:rFonts w:ascii="Times New Roman" w:hAnsi="Times New Roman"/>
          <w:b w:val="false"/>
          <w:i/>
          <w:color w:val="000000"/>
          <w:sz w:val="22"/>
        </w:rPr>
        <w:t xml:space="preserve">Seasons. </w:t>
      </w:r>
      <w:r>
        <w:rPr>
          <w:rFonts w:ascii="Times New Roman" w:hAnsi="Times New Roman"/>
          <w:b w:val="false"/>
          <w:i w:val="false"/>
          <w:color w:val="000000"/>
          <w:sz w:val="22"/>
        </w:rPr>
        <w:t>Seasons will be established in accordance with the type of license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Spring combination shotgun-or-archery licenses. </w:t>
      </w:r>
      <w:r>
        <w:rPr>
          <w:rFonts w:ascii="Times New Roman" w:hAnsi="Times New Roman"/>
          <w:b w:val="false"/>
          <w:i w:val="false"/>
          <w:color w:val="000000"/>
          <w:sz w:val="22"/>
        </w:rPr>
        <w:t>Consecutive seasons are 4, 5, 7, and 19 days, respectively, with the first season beginning on the second Monday of April. These seasons shall be designated as seasons 1, 2, 3 and 4, respectively.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Spring archery-only licenses. </w:t>
      </w:r>
      <w:r>
        <w:rPr>
          <w:rFonts w:ascii="Times New Roman" w:hAnsi="Times New Roman"/>
          <w:b w:val="false"/>
          <w:i w:val="false"/>
          <w:color w:val="000000"/>
          <w:sz w:val="22"/>
        </w:rPr>
        <w:t>The season shall be 35 days beginning on the second Monday of April.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Fall combination shotgun-or-archery licenses. </w:t>
      </w:r>
      <w:r>
        <w:rPr>
          <w:rFonts w:ascii="Times New Roman" w:hAnsi="Times New Roman"/>
          <w:b w:val="false"/>
          <w:i w:val="false"/>
          <w:color w:val="000000"/>
          <w:sz w:val="22"/>
        </w:rPr>
        <w:t>The dates for the fall combination shotgun-or-archery season shall be from the Monday following the second Saturday in October through the Friday before the first Saturday in December of the same year. Wild turkey may be taken with a combination shotgun-or-archery license only in the following zones: 4, 5, 6, 7, 8, and 9 as defined by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Fall archery-only licenses. </w:t>
      </w:r>
      <w:r>
        <w:rPr>
          <w:rFonts w:ascii="Times New Roman" w:hAnsi="Times New Roman"/>
          <w:b w:val="false"/>
          <w:i w:val="false"/>
          <w:color w:val="000000"/>
          <w:sz w:val="22"/>
        </w:rPr>
        <w:t xml:space="preserve">The dates for the fall archery-only wild turkey hunting season shall be the same as the dates for the bow season for deer as described in </w:t>
      </w:r>
      <w:hyperlink r:id="rId8">
        <w:r>
          <w:rPr>
            <w:rStyle w:val="Hyperlink"/>
            <w:rFonts w:ascii="Times New Roman" w:hAnsi="Times New Roman"/>
            <w:b w:val="false"/>
            <w:i w:val="false"/>
            <w:color w:val="000000"/>
            <w:sz w:val="22"/>
          </w:rPr>
          <w:t>571—Chapter 106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i w:val="false"/>
          <w:color w:val="000000"/>
          <w:sz w:val="16"/>
        </w:rPr>
        <w:t>ARC 0281D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571—98.3</w:t>
      </w:r>
      <w:r>
        <w:rPr>
          <w:rFonts w:ascii="Times New Roman" w:hAnsi="Times New Roman"/>
          <w:b/>
          <w:i w:val="false"/>
          <w:color w:val="000000"/>
          <w:sz w:val="22"/>
        </w:rPr>
        <w:t xml:space="preserve">(483A) </w:t>
      </w:r>
      <w:r>
        <w:rPr>
          <w:rFonts w:ascii="Times New Roman" w:hAnsi="Times New Roman"/>
          <w:b/>
          <w:i w:val="false"/>
          <w:color w:val="000000"/>
          <w:sz w:val="22"/>
        </w:rPr>
        <w:t xml:space="preserve">Procedures to obtain licenses. </w:t>
      </w:r>
      <w:r>
        <w:rPr>
          <w:rFonts w:ascii="Times New Roman" w:hAnsi="Times New Roman"/>
          <w:b w:val="false"/>
          <w:i w:val="false"/>
          <w:color w:val="000000"/>
          <w:sz w:val="22"/>
        </w:rPr>
        <w:t>All wild turkey hunting licenses will be issued using the electronic licensing system for Iowa (ELSI). Licenses may be purchased through ELSI license agents, by calling the ELSI telephone ordering system, or through the ELSI Internet license sales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98.3(1)</w:t>
      </w:r>
      <w:r>
        <w:rPr>
          <w:rFonts w:ascii="Times New Roman" w:hAnsi="Times New Roman"/>
          <w:b w:val="false"/>
          <w:i w:val="false"/>
          <w:color w:val="000000"/>
          <w:sz w:val="22"/>
        </w:rPr>
        <w:t> </w:t>
      </w:r>
      <w:r>
        <w:rPr>
          <w:rFonts w:ascii="Times New Roman" w:hAnsi="Times New Roman"/>
          <w:b w:val="false"/>
          <w:i w:val="false"/>
          <w:color w:val="000000"/>
          <w:sz w:val="22"/>
        </w:rPr>
        <w:t xml:space="preserve">Spring wild turkey hunting licenses will be sold beginning December 15 through the last day of the season for which the license is valid. There will be no quotas for combination shotgun-or-archery licenses or for archery-only licenses for resident hunters.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98.3(2)</w:t>
      </w:r>
      <w:r>
        <w:rPr>
          <w:rFonts w:ascii="Times New Roman" w:hAnsi="Times New Roman"/>
          <w:b w:val="false"/>
          <w:i w:val="false"/>
          <w:color w:val="000000"/>
          <w:sz w:val="22"/>
        </w:rPr>
        <w:t> </w:t>
      </w:r>
      <w:r>
        <w:rPr>
          <w:rFonts w:ascii="Times New Roman" w:hAnsi="Times New Roman"/>
          <w:b w:val="false"/>
          <w:i w:val="false"/>
          <w:color w:val="000000"/>
          <w:sz w:val="22"/>
        </w:rPr>
        <w:t>Landowner/tenant licenses. An eligible resident landowner or tenant may obtain one free spring turkey license or one free fall turkey license that is valid until filled using an appropriate method of take as defined for the season and only on the farm unit of the landowner or tenant. One combination shotgun-or-archery license or one archery-only license may be obtained in addition to the free spring or fall license. Nonresident landowners are not eligible for resident or landowner turkey hunting licenses.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98.3(3)</w:t>
      </w:r>
      <w:r>
        <w:rPr>
          <w:rFonts w:ascii="Times New Roman" w:hAnsi="Times New Roman"/>
          <w:b w:val="false"/>
          <w:i w:val="false"/>
          <w:color w:val="000000"/>
          <w:sz w:val="22"/>
        </w:rPr>
        <w:t> </w:t>
      </w:r>
      <w:r>
        <w:rPr>
          <w:rFonts w:ascii="Times New Roman" w:hAnsi="Times New Roman"/>
          <w:b w:val="false"/>
          <w:i w:val="false"/>
          <w:color w:val="000000"/>
          <w:sz w:val="22"/>
        </w:rPr>
        <w:t>Fall license availability. All fall turkey hunting licenses for which a quota is established may be obtained from ELSI agents on a first-come, first-served basis beginning August 15 until the quota fills, or through the last day of the hunting period for which the license is valid. All fall turkey hunting licenses that have no quota may be obtained from ELSI agents beginning August 15 through the last day of the hunting period for which a license is valid.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i w:val="false"/>
          <w:color w:val="000000"/>
          <w:sz w:val="16"/>
        </w:rPr>
        <w:t>ARC 0281D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571—98.4</w:t>
      </w:r>
      <w:r>
        <w:rPr>
          <w:rFonts w:ascii="Times New Roman" w:hAnsi="Times New Roman"/>
          <w:b/>
          <w:i w:val="false"/>
          <w:color w:val="000000"/>
          <w:sz w:val="22"/>
        </w:rPr>
        <w:t xml:space="preserve">(483A) </w:t>
      </w:r>
      <w:r>
        <w:rPr>
          <w:rFonts w:ascii="Times New Roman" w:hAnsi="Times New Roman"/>
          <w:b/>
          <w:i w:val="false"/>
          <w:color w:val="000000"/>
          <w:sz w:val="22"/>
        </w:rPr>
        <w:t xml:space="preserve">Providing false information. </w:t>
      </w:r>
      <w:r>
        <w:rPr>
          <w:rFonts w:ascii="Times New Roman" w:hAnsi="Times New Roman"/>
          <w:b w:val="false"/>
          <w:i w:val="false"/>
          <w:color w:val="000000"/>
          <w:sz w:val="22"/>
        </w:rPr>
        <w:t>If anyone provides false information when obtaining any turkey hunting license, that license and transportation tag and any other turkey hunting license and transportation tag obtained during the same year shall be invalid.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571—98.5</w:t>
      </w:r>
      <w:r>
        <w:rPr>
          <w:rFonts w:ascii="Times New Roman" w:hAnsi="Times New Roman"/>
          <w:b/>
          <w:i w:val="false"/>
          <w:color w:val="000000"/>
          <w:sz w:val="22"/>
        </w:rPr>
        <w:t xml:space="preserve">(483A) </w:t>
      </w:r>
      <w:r>
        <w:rPr>
          <w:rFonts w:ascii="Times New Roman" w:hAnsi="Times New Roman"/>
          <w:b/>
          <w:i w:val="false"/>
          <w:color w:val="000000"/>
          <w:sz w:val="22"/>
        </w:rPr>
        <w:t xml:space="preserve">Transportation tag. </w:t>
      </w:r>
      <w:r>
        <w:rPr>
          <w:rFonts w:ascii="Times New Roman" w:hAnsi="Times New Roman"/>
          <w:b w:val="false"/>
          <w:i w:val="false"/>
          <w:color w:val="000000"/>
          <w:sz w:val="22"/>
        </w:rPr>
        <w:t>Immediately upon the killing of a wild turkey, the transportation tag issued with the license and bearing the license number of the licensee, year of issuance, and date of kill properly shown shall be visibly attached to one leg of the turkey. The hunter who shot the turkey must use the transportation tag issued to that hunter to tag the turkey. No one may tag a turkey with a transportation tag issued to another hunter. The tag must be attached in such a manner that it cannot be removed without mutilating or destroying the tag. The tag must be attached before the carcass can be moved in any manner from the place of kill. The transportation tag shall remain affixed to the leg of the turkey until the turkey is processed for consumption. The leg that bears the tag must be attached to the carcass of any wild turkey being transported within the state during any wild turkey hunting season. The tag shall be proof of possession of the carcass by the above-mentioned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571—98.6</w:t>
      </w:r>
      <w:r>
        <w:rPr>
          <w:rFonts w:ascii="Times New Roman" w:hAnsi="Times New Roman"/>
          <w:b/>
          <w:i w:val="false"/>
          <w:color w:val="000000"/>
          <w:sz w:val="22"/>
        </w:rPr>
        <w:t xml:space="preserve">(483A) </w:t>
      </w:r>
      <w:r>
        <w:rPr>
          <w:rFonts w:ascii="Times New Roman" w:hAnsi="Times New Roman"/>
          <w:b/>
          <w:i w:val="false"/>
          <w:color w:val="000000"/>
          <w:sz w:val="22"/>
        </w:rPr>
        <w:t xml:space="preserve">Eligibility for free landowner/tenant turkey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98.6(1)</w:t>
      </w:r>
      <w:r>
        <w:rPr>
          <w:rFonts w:ascii="Times New Roman" w:hAnsi="Times New Roman"/>
          <w:b w:val="false"/>
          <w:i w:val="false"/>
          <w:color w:val="000000"/>
          <w:sz w:val="22"/>
        </w:rPr>
        <w:t> </w:t>
      </w:r>
      <w:r>
        <w:rPr>
          <w:rFonts w:ascii="Times New Roman" w:hAnsi="Times New Roman"/>
          <w:b w:val="false"/>
          <w:i/>
          <w:color w:val="000000"/>
          <w:sz w:val="22"/>
        </w:rPr>
        <w:t xml:space="preserve">Who qualifies for a landowner/tenant turkey hunting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Owners and tenants of a farm unit and the spouse or domestic partner as defined by the Iowa department of administrative services and juvenile child of an owner or tenant who reside with the owner or tenant are eligible for free turkey licenses. The owner or tenant does not have to reside on the farm unit but must be actively engaged in farming it. Nonresident landowners do not qualify.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“Juvenile child” means a person less than 18 years of age or a person who is 18 or 19 years of age and is in full-time attendance at an accredited school pursuing a course of study leading to a high school diploma or a high school equivalency diploma. A person 18 years of age or older who has received a high school diploma or high school equivalency diploma does not qualify.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98.6(2)</w:t>
      </w:r>
      <w:r>
        <w:rPr>
          <w:rFonts w:ascii="Times New Roman" w:hAnsi="Times New Roman"/>
          <w:b w:val="false"/>
          <w:i w:val="false"/>
          <w:color w:val="000000"/>
          <w:sz w:val="22"/>
        </w:rPr>
        <w:t> </w:t>
      </w:r>
      <w:r>
        <w:rPr>
          <w:rFonts w:ascii="Times New Roman" w:hAnsi="Times New Roman"/>
          <w:b w:val="false"/>
          <w:i/>
          <w:color w:val="000000"/>
          <w:sz w:val="22"/>
        </w:rPr>
        <w:t xml:space="preserve">Who qualifies as a tenant. </w:t>
      </w:r>
      <w:r>
        <w:rPr>
          <w:rFonts w:ascii="Times New Roman" w:hAnsi="Times New Roman"/>
          <w:b w:val="false"/>
          <w:i w:val="false"/>
          <w:color w:val="000000"/>
          <w:sz w:val="22"/>
        </w:rPr>
        <w:t>A “tenant” is a person other than the landowner who is actively engaged in the operation of the farm. The tenant may be a member of the landowner’s family, including in some circumstances the landowner’s spouse or child, or a third party who is not a family member. The tenant does not have to reside on the farm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98.6(3)</w:t>
      </w:r>
      <w:r>
        <w:rPr>
          <w:rFonts w:ascii="Times New Roman" w:hAnsi="Times New Roman"/>
          <w:b w:val="false"/>
          <w:i w:val="false"/>
          <w:color w:val="000000"/>
          <w:sz w:val="22"/>
        </w:rPr>
        <w:t> </w:t>
      </w:r>
      <w:r>
        <w:rPr>
          <w:rFonts w:ascii="Times New Roman" w:hAnsi="Times New Roman"/>
          <w:b w:val="false"/>
          <w:i/>
          <w:color w:val="000000"/>
          <w:sz w:val="22"/>
        </w:rPr>
        <w:t xml:space="preserve">Definition of “actively engaged in farming.” </w:t>
      </w:r>
      <w:r>
        <w:rPr>
          <w:rFonts w:ascii="Times New Roman" w:hAnsi="Times New Roman"/>
          <w:b w:val="false"/>
          <w:i w:val="false"/>
          <w:color w:val="000000"/>
          <w:sz w:val="22"/>
        </w:rPr>
        <w:t>Landowners and tenants are “actively engaged in farming” if they personally participate in decisions about farm operations and those decisions, along with external factors such as weather and market prices, determine their profit or loss for the products they produce. Tenants qualify if they farm land owned by another and pay rent in cash or in kind. A farm manager or other third party that operates a farm for a fee or a laborer who works on the farm for a wage and is not a family member does not qualify as a tenant.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98.6(4)</w:t>
      </w:r>
      <w:r>
        <w:rPr>
          <w:rFonts w:ascii="Times New Roman" w:hAnsi="Times New Roman"/>
          <w:b w:val="false"/>
          <w:i w:val="false"/>
          <w:color w:val="000000"/>
          <w:sz w:val="22"/>
        </w:rPr>
        <w:t> </w:t>
      </w:r>
      <w:r>
        <w:rPr>
          <w:rFonts w:ascii="Times New Roman" w:hAnsi="Times New Roman"/>
          <w:b w:val="false"/>
          <w:i/>
          <w:color w:val="000000"/>
          <w:sz w:val="22"/>
        </w:rPr>
        <w:t xml:space="preserve">Landowners who qualify as active farmers. </w:t>
      </w:r>
      <w:r>
        <w:rPr>
          <w:rFonts w:ascii="Times New Roman" w:hAnsi="Times New Roman"/>
          <w:b w:val="false"/>
          <w:i w:val="false"/>
          <w:color w:val="000000"/>
          <w:sz w:val="22"/>
        </w:rPr>
        <w:t>These landowners: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Are the sole operator of a farm unit (along with immediate family members);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Make all decisions about farm operations, but contract for custom farming or hire labor to do some or all of the work;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Participate annually in decisions about farm operations such as negotiations with federal farm agencies or negotiations about cropping practices on specific fields that are rented to a tenant;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Raise specialty crops from operations such as orchards, nurseries, or tree farms that do not necessarily produce annual income but require annual operating decisions about maintenance or improvements;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May have portions of the farm enrolled in a long-term land retirement program such as the Conservation Reserve Program (CRP) as long as other farm operations occur annually;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Place their entire cropland in the CRP or other long-term land retirement program with no other active farming operation occurring on the farm.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98.6(5)</w:t>
      </w:r>
      <w:r>
        <w:rPr>
          <w:rFonts w:ascii="Times New Roman" w:hAnsi="Times New Roman"/>
          <w:b w:val="false"/>
          <w:i w:val="false"/>
          <w:color w:val="000000"/>
          <w:sz w:val="22"/>
        </w:rPr>
        <w:t> </w:t>
      </w:r>
      <w:r>
        <w:rPr>
          <w:rFonts w:ascii="Times New Roman" w:hAnsi="Times New Roman"/>
          <w:b w:val="false"/>
          <w:i/>
          <w:color w:val="000000"/>
          <w:sz w:val="22"/>
        </w:rPr>
        <w:t xml:space="preserve">Landowners who do not qualify. </w:t>
      </w:r>
      <w:r>
        <w:rPr>
          <w:rFonts w:ascii="Times New Roman" w:hAnsi="Times New Roman"/>
          <w:b w:val="false"/>
          <w:i w:val="false"/>
          <w:color w:val="000000"/>
          <w:sz w:val="22"/>
        </w:rPr>
        <w:t>These landowners: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Use a farm manager or other third party to operate the farm;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Cash rent the entire farm to a tenant who is responsible for all farm operations including following preapproved operations plans.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98.6(6)</w:t>
      </w:r>
      <w:r>
        <w:rPr>
          <w:rFonts w:ascii="Times New Roman" w:hAnsi="Times New Roman"/>
          <w:b w:val="false"/>
          <w:i w:val="false"/>
          <w:color w:val="000000"/>
          <w:sz w:val="22"/>
        </w:rPr>
        <w:t> </w:t>
      </w:r>
      <w:r>
        <w:rPr>
          <w:rFonts w:ascii="Times New Roman" w:hAnsi="Times New Roman"/>
          <w:b w:val="false"/>
          <w:i/>
          <w:color w:val="000000"/>
          <w:sz w:val="22"/>
        </w:rPr>
        <w:t xml:space="preserve">Where landowner/tenant licenses are valid. </w:t>
      </w:r>
      <w:r>
        <w:rPr>
          <w:rFonts w:ascii="Times New Roman" w:hAnsi="Times New Roman"/>
          <w:b w:val="false"/>
          <w:i w:val="false"/>
          <w:color w:val="000000"/>
          <w:sz w:val="22"/>
        </w:rPr>
        <w:t>A free license is valid only on the farm unit of the landowner or tenant. “Farm unit” means all parcels of land that are at least two contiguous acres in size, that are operated as a unit for agricultural purposes, and that are under lawful control of the landowner or tenant regardless of how that land is subdivided for business purposes. Individual parcels of land do not need to be adjacent to one another to be included in the farm unit. “Agricultural purposes” includes but is not limited to field crops, livestock, horticultural crops (e.g., from nurseries, orchards, truck farms, or Christmas tree plantations), and land managed for timber production.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98.6(7)</w:t>
      </w:r>
      <w:r>
        <w:rPr>
          <w:rFonts w:ascii="Times New Roman" w:hAnsi="Times New Roman"/>
          <w:b w:val="false"/>
          <w:i w:val="false"/>
          <w:color w:val="000000"/>
          <w:sz w:val="22"/>
        </w:rPr>
        <w:t> </w:t>
      </w:r>
      <w:r>
        <w:rPr>
          <w:rFonts w:ascii="Times New Roman" w:hAnsi="Times New Roman"/>
          <w:b w:val="false"/>
          <w:i/>
          <w:color w:val="000000"/>
          <w:sz w:val="22"/>
        </w:rPr>
        <w:t xml:space="preserve">How many landowner/tenant licenses may be obtained. </w:t>
      </w:r>
      <w:r>
        <w:rPr>
          <w:rFonts w:ascii="Times New Roman" w:hAnsi="Times New Roman"/>
          <w:b w:val="false"/>
          <w:i w:val="false"/>
          <w:color w:val="000000"/>
          <w:sz w:val="22"/>
        </w:rPr>
        <w:t>The maximum number of landowner/tenant licenses for the spring turkey season is two per farm unit, one for the landowner (or family member) and one for the tenant (or family member). If there is no tenant, the landowner’s family may obtain only one license. A tenant or the tenant’s family is entitled to only one landowner/tenant license even if the tenant farms land for more than one landowner.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98.6(8)</w:t>
      </w:r>
      <w:r>
        <w:rPr>
          <w:rFonts w:ascii="Times New Roman" w:hAnsi="Times New Roman"/>
          <w:b w:val="false"/>
          <w:i w:val="false"/>
          <w:color w:val="000000"/>
          <w:sz w:val="22"/>
        </w:rPr>
        <w:t> </w:t>
      </w:r>
      <w:r>
        <w:rPr>
          <w:rFonts w:ascii="Times New Roman" w:hAnsi="Times New Roman"/>
          <w:b w:val="false"/>
          <w:i/>
          <w:color w:val="000000"/>
          <w:sz w:val="22"/>
        </w:rPr>
        <w:t xml:space="preserve">Registration of landowners and tenants. </w:t>
      </w:r>
      <w:r>
        <w:rPr>
          <w:rFonts w:ascii="Times New Roman" w:hAnsi="Times New Roman"/>
          <w:b w:val="false"/>
          <w:i w:val="false"/>
          <w:color w:val="000000"/>
          <w:sz w:val="22"/>
        </w:rPr>
        <w:t xml:space="preserve">Landowners and tenants and their eligible family members who want to obtain free spring wild turkey hunting licenses must register with the department of natural resources before the free licenses will be issued. Procedures for registering are described in </w:t>
      </w:r>
      <w:hyperlink r:id="rId9">
        <w:r>
          <w:rPr>
            <w:rStyle w:val="Hyperlink"/>
            <w:rFonts w:ascii="Times New Roman" w:hAnsi="Times New Roman"/>
            <w:b w:val="false"/>
            <w:i w:val="false"/>
            <w:color w:val="000000"/>
            <w:sz w:val="22"/>
          </w:rPr>
          <w:t>571—95.2</w:t>
        </w:r>
      </w:hyperlink>
      <w:r>
        <w:rPr>
          <w:rFonts w:ascii="Times New Roman" w:hAnsi="Times New Roman"/>
          <w:b w:val="false"/>
          <w:i w:val="false"/>
          <w:color w:val="000000"/>
          <w:sz w:val="22"/>
        </w:rPr>
        <w:t>(481A).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571—98.7</w:t>
      </w:r>
      <w:r>
        <w:rPr>
          <w:rFonts w:ascii="Times New Roman" w:hAnsi="Times New Roman"/>
          <w:b/>
          <w:i w:val="false"/>
          <w:color w:val="000000"/>
          <w:sz w:val="22"/>
        </w:rPr>
        <w:t xml:space="preserve">(483A) </w:t>
      </w:r>
      <w:r>
        <w:rPr>
          <w:rFonts w:ascii="Times New Roman" w:hAnsi="Times New Roman"/>
          <w:b/>
          <w:i w:val="false"/>
          <w:color w:val="000000"/>
          <w:sz w:val="22"/>
        </w:rPr>
        <w:t xml:space="preserve">Youth spring wild turkey hunt.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98.7(1)</w:t>
      </w:r>
      <w:r>
        <w:rPr>
          <w:rFonts w:ascii="Times New Roman" w:hAnsi="Times New Roman"/>
          <w:b w:val="false"/>
          <w:i w:val="false"/>
          <w:color w:val="000000"/>
          <w:sz w:val="22"/>
        </w:rPr>
        <w:t> </w:t>
      </w:r>
      <w:r>
        <w:rPr>
          <w:rFonts w:ascii="Times New Roman" w:hAnsi="Times New Roman"/>
          <w:b w:val="false"/>
          <w:i/>
          <w:color w:val="000000"/>
          <w:sz w:val="22"/>
        </w:rPr>
        <w:t xml:space="preserve">Licenses. </w:t>
      </w:r>
      <w:r>
        <w:rPr>
          <w:rFonts w:ascii="Times New Roman" w:hAnsi="Times New Roman"/>
          <w:b w:val="false"/>
          <w:i w:val="false"/>
          <w:color w:val="000000"/>
          <w:sz w:val="22"/>
        </w:rPr>
        <w:t>A special youth spring wild turkey hunting license valid statewide may be issued to any Iowa resident who is 15 years old or younger on the date the youth purchases the license. The youth license may be paid or free to persons eligible for free licenses. If the youth obtains a free landowner/tenant license, it will count as the one free license for which the youth’s family is eligible. Each participating youth must be accompanied by an adult who possesses a valid wild turkey spring hunting license for one of the seasons and a hunting license, and has paid the habitat fee (if the adult is normally required to have a hunting license and to pay the habitat fee to hunt). The accompanying adult must not possess a firearm or bow and must be in the direct company of the youth at all times. A person may obtain only one youth turkey hunting license but may also obtain one archery-only license or one combination shotgun-or-archery license for season 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98.7(2)</w:t>
      </w:r>
      <w:r>
        <w:rPr>
          <w:rFonts w:ascii="Times New Roman" w:hAnsi="Times New Roman"/>
          <w:b w:val="false"/>
          <w:i w:val="false"/>
          <w:color w:val="000000"/>
          <w:sz w:val="22"/>
        </w:rPr>
        <w:t> </w:t>
      </w:r>
      <w:r>
        <w:rPr>
          <w:rFonts w:ascii="Times New Roman" w:hAnsi="Times New Roman"/>
          <w:b w:val="false"/>
          <w:i/>
          <w:color w:val="000000"/>
          <w:sz w:val="22"/>
        </w:rPr>
        <w:t xml:space="preserve">Youth season dates. </w:t>
      </w:r>
      <w:r>
        <w:rPr>
          <w:rFonts w:ascii="Times New Roman" w:hAnsi="Times New Roman"/>
          <w:b w:val="false"/>
          <w:i w:val="false"/>
          <w:color w:val="000000"/>
          <w:sz w:val="22"/>
        </w:rPr>
        <w:t>The youth turkey hunting license shall be valid during the three days immediately before the first turkey season. A person who is issued a youth spring wild turkey hunting license and does not take a wild turkey during the youth spring wild turkey hunting season may use the wild turkey hunting license and unused tag during any remaining spring wild turkey hunting season in the year in which the youth license was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98.7(3)</w:t>
      </w:r>
      <w:r>
        <w:rPr>
          <w:rFonts w:ascii="Times New Roman" w:hAnsi="Times New Roman"/>
          <w:b w:val="false"/>
          <w:i w:val="false"/>
          <w:color w:val="000000"/>
          <w:sz w:val="22"/>
        </w:rPr>
        <w:t> </w:t>
      </w:r>
      <w:r>
        <w:rPr>
          <w:rFonts w:ascii="Times New Roman" w:hAnsi="Times New Roman"/>
          <w:b w:val="false"/>
          <w:i/>
          <w:color w:val="000000"/>
          <w:sz w:val="22"/>
        </w:rPr>
        <w:t xml:space="preserve">Limits and license quotas. </w:t>
      </w:r>
      <w:r>
        <w:rPr>
          <w:rFonts w:ascii="Times New Roman" w:hAnsi="Times New Roman"/>
          <w:b w:val="false"/>
          <w:i w:val="false"/>
          <w:color w:val="000000"/>
          <w:sz w:val="22"/>
        </w:rPr>
        <w:t>An unlimited number of licenses may be issued. The daily and season bag and possession limit is one bearded (or male) wild turkey.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98.7(4)</w:t>
      </w:r>
      <w:r>
        <w:rPr>
          <w:rFonts w:ascii="Times New Roman" w:hAnsi="Times New Roman"/>
          <w:b w:val="false"/>
          <w:i w:val="false"/>
          <w:color w:val="000000"/>
          <w:sz w:val="22"/>
        </w:rPr>
        <w:t> </w:t>
      </w:r>
      <w:r>
        <w:rPr>
          <w:rFonts w:ascii="Times New Roman" w:hAnsi="Times New Roman"/>
          <w:b w:val="false"/>
          <w:i/>
          <w:color w:val="000000"/>
          <w:sz w:val="22"/>
        </w:rPr>
        <w:t xml:space="preserve">Method of take and other regulations. </w:t>
      </w:r>
      <w:r>
        <w:rPr>
          <w:rFonts w:ascii="Times New Roman" w:hAnsi="Times New Roman"/>
          <w:b w:val="false"/>
          <w:i w:val="false"/>
          <w:color w:val="000000"/>
          <w:sz w:val="22"/>
        </w:rPr>
        <w:t xml:space="preserve">Wild turkeys may be taken with shotguns, muzzleloaded shotguns or bows as described in </w:t>
      </w:r>
      <w:hyperlink r:id="rId10">
        <w:r>
          <w:rPr>
            <w:rStyle w:val="Hyperlink"/>
            <w:rFonts w:ascii="Times New Roman" w:hAnsi="Times New Roman"/>
            <w:b w:val="false"/>
            <w:i w:val="false"/>
            <w:color w:val="000000"/>
            <w:sz w:val="22"/>
          </w:rPr>
          <w:t>571—98.2</w:t>
        </w:r>
      </w:hyperlink>
      <w:r>
        <w:rPr>
          <w:rFonts w:ascii="Times New Roman" w:hAnsi="Times New Roman"/>
          <w:b w:val="false"/>
          <w:i w:val="false"/>
          <w:color w:val="000000"/>
          <w:sz w:val="22"/>
        </w:rPr>
        <w:t>(483A). All other spring wild turkey hunting regulations for residents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98.7(5)</w:t>
      </w:r>
      <w:r>
        <w:rPr>
          <w:rFonts w:ascii="Times New Roman" w:hAnsi="Times New Roman"/>
          <w:b w:val="false"/>
          <w:i w:val="false"/>
          <w:color w:val="000000"/>
          <w:sz w:val="22"/>
        </w:rPr>
        <w:t> </w:t>
      </w:r>
      <w:r>
        <w:rPr>
          <w:rFonts w:ascii="Times New Roman" w:hAnsi="Times New Roman"/>
          <w:b w:val="false"/>
          <w:i/>
          <w:color w:val="000000"/>
          <w:sz w:val="22"/>
        </w:rPr>
        <w:t xml:space="preserve">Procedures for obtaining licenses. </w:t>
      </w:r>
      <w:r>
        <w:rPr>
          <w:rFonts w:ascii="Times New Roman" w:hAnsi="Times New Roman"/>
          <w:b w:val="false"/>
          <w:i w:val="false"/>
          <w:color w:val="000000"/>
          <w:sz w:val="22"/>
        </w:rPr>
        <w:t>Youth season licenses may be obtained through ELSI beginning December 15 through the last day of the youth season.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571—98.8</w:t>
      </w:r>
      <w:r>
        <w:rPr>
          <w:rFonts w:ascii="Times New Roman" w:hAnsi="Times New Roman"/>
          <w:b/>
          <w:i w:val="false"/>
          <w:color w:val="000000"/>
          <w:sz w:val="22"/>
        </w:rPr>
        <w:t xml:space="preserve">(481A) </w:t>
      </w:r>
      <w:r>
        <w:rPr>
          <w:rFonts w:ascii="Times New Roman" w:hAnsi="Times New Roman"/>
          <w:b/>
          <w:i w:val="false"/>
          <w:color w:val="000000"/>
          <w:sz w:val="22"/>
        </w:rPr>
        <w:t xml:space="preserve">Harvest reporting. </w:t>
      </w:r>
      <w:r>
        <w:rPr>
          <w:rFonts w:ascii="Times New Roman" w:hAnsi="Times New Roman"/>
          <w:b w:val="false"/>
          <w:i w:val="false"/>
          <w:color w:val="000000"/>
          <w:sz w:val="22"/>
        </w:rPr>
        <w:t xml:space="preserve">Each hunter who harvests a turkey must report that kill according to procedures described in </w:t>
      </w:r>
      <w:hyperlink r:id="rId11">
        <w:r>
          <w:rPr>
            <w:rStyle w:val="Hyperlink"/>
            <w:rFonts w:ascii="Times New Roman" w:hAnsi="Times New Roman"/>
            <w:b w:val="false"/>
            <w:i w:val="false"/>
            <w:color w:val="000000"/>
            <w:sz w:val="22"/>
          </w:rPr>
          <w:t>571—95.1</w:t>
        </w:r>
      </w:hyperlink>
      <w:r>
        <w:rPr>
          <w:rFonts w:ascii="Times New Roman" w:hAnsi="Times New Roman"/>
          <w:b w:val="false"/>
          <w:i w:val="false"/>
          <w:color w:val="000000"/>
          <w:sz w:val="22"/>
        </w:rPr>
        <w:t>(481A).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NONRESIDENT WILD TURKEY HUNTING</w:t>
      </w:r>
    </w:p>
    <w:p>
      <w:pPr>
        <w:spacing w:before="0" w:after="0"/>
        <w:ind w:left="120"/>
        <w:jc w:val="both"/>
      </w:pPr>
      <w:r>
        <w:rPr>
          <w:rFonts w:ascii="Times New Roman" w:hAnsi="Times New Roman"/>
          <w:b/>
          <w:i w:val="false"/>
          <w:color w:val="000000"/>
          <w:sz w:val="22"/>
        </w:rPr>
        <w:t>571—98.9</w:t>
      </w:r>
      <w:r>
        <w:rPr>
          <w:rFonts w:ascii="Times New Roman" w:hAnsi="Times New Roman"/>
          <w:b/>
          <w:i w:val="false"/>
          <w:color w:val="000000"/>
          <w:sz w:val="22"/>
        </w:rPr>
        <w:t xml:space="preserve">(483A) </w:t>
      </w:r>
      <w:r>
        <w:rPr>
          <w:rFonts w:ascii="Times New Roman" w:hAnsi="Times New Roman"/>
          <w:b/>
          <w:i w:val="false"/>
          <w:color w:val="000000"/>
          <w:sz w:val="22"/>
        </w:rPr>
        <w:t xml:space="preserve">General. </w:t>
      </w:r>
      <w:r>
        <w:rPr>
          <w:rFonts w:ascii="Times New Roman" w:hAnsi="Times New Roman"/>
          <w:b w:val="false"/>
          <w:i w:val="false"/>
          <w:color w:val="000000"/>
          <w:sz w:val="22"/>
        </w:rPr>
        <w:t>Wild turkey may be taken during the spring season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98.9(1)</w:t>
      </w: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When hunting wild turkey, all hunters must have in possession a valid nonresident wild turkey spring hunting license, the unused transportation tag issued with that license, a valid nonresident hunting license, and proof of having paid the current year’s habitat fee. No one, while hunting turkey, shall carry or have in possession any license or transportation tag issued to another hunter. No one who is issued a wild turkey license and transportation tag shall allow another person to possess that license or transportation tag while turkey hunting or tagging a turkey. Licenses will be issued by zone and season and will be valid in the designated zone and season only. No one shall obtain more than one nonresident wild turkey spring hunting license. A hunter having a license valid for one of the spring turkey seasons may accompany, call for, or otherwise assist any other hunter who has a valid turkey hunting license in that season and zone. The hunter who is providing assistance may not shoot a turkey or carry a firearm or bow unless that hunter has a valid license and an unused tag for the current season and zone. Two types of licenses will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Combination shotgun-or-archery license. </w:t>
      </w:r>
      <w:r>
        <w:rPr>
          <w:rFonts w:ascii="Times New Roman" w:hAnsi="Times New Roman"/>
          <w:b w:val="false"/>
          <w:i w:val="false"/>
          <w:color w:val="000000"/>
          <w:sz w:val="22"/>
        </w:rPr>
        <w:t xml:space="preserve">Shotguns, muzzleloading shotguns and archery equipment as defined in </w:t>
      </w:r>
      <w:hyperlink r:id="rId12">
        <w:r>
          <w:rPr>
            <w:rStyle w:val="Hyperlink"/>
            <w:rFonts w:ascii="Times New Roman" w:hAnsi="Times New Roman"/>
            <w:b w:val="false"/>
            <w:i w:val="false"/>
            <w:color w:val="000000"/>
            <w:sz w:val="22"/>
          </w:rPr>
          <w:t>98.12(1)</w:t>
        </w:r>
      </w:hyperlink>
      <w:r>
        <w:rPr>
          <w:rFonts w:ascii="Times New Roman" w:hAnsi="Times New Roman"/>
          <w:b w:val="false"/>
          <w:i w:val="false"/>
          <w:color w:val="000000"/>
          <w:sz w:val="22"/>
        </w:rPr>
        <w:t xml:space="preserve">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Muzzleloading shotgun-only license. </w:t>
      </w:r>
      <w:r>
        <w:rPr>
          <w:rFonts w:ascii="Times New Roman" w:hAnsi="Times New Roman"/>
          <w:b w:val="false"/>
          <w:i w:val="false"/>
          <w:color w:val="000000"/>
          <w:sz w:val="22"/>
        </w:rPr>
        <w:t xml:space="preserve">Only muzzleloading shotguns as defined in </w:t>
      </w:r>
      <w:hyperlink r:id="rId13">
        <w:r>
          <w:rPr>
            <w:rStyle w:val="Hyperlink"/>
            <w:rFonts w:ascii="Times New Roman" w:hAnsi="Times New Roman"/>
            <w:b w:val="false"/>
            <w:i w:val="false"/>
            <w:color w:val="000000"/>
            <w:sz w:val="22"/>
          </w:rPr>
          <w:t>98.12(1)</w:t>
        </w:r>
      </w:hyperlink>
      <w:r>
        <w:rPr>
          <w:rFonts w:ascii="Times New Roman" w:hAnsi="Times New Roman"/>
          <w:b w:val="false"/>
          <w:i w:val="false"/>
          <w:color w:val="000000"/>
          <w:sz w:val="22"/>
        </w:rPr>
        <w:t xml:space="preserve">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98.9(2)</w:t>
      </w:r>
      <w:r>
        <w:rPr>
          <w:rFonts w:ascii="Times New Roman" w:hAnsi="Times New Roman"/>
          <w:b w:val="false"/>
          <w:i w:val="false"/>
          <w:color w:val="000000"/>
          <w:sz w:val="22"/>
        </w:rPr>
        <w:t> </w:t>
      </w:r>
      <w:r>
        <w:rPr>
          <w:rFonts w:ascii="Times New Roman" w:hAnsi="Times New Roman"/>
          <w:b w:val="false"/>
          <w:i/>
          <w:color w:val="000000"/>
          <w:sz w:val="22"/>
        </w:rPr>
        <w:t xml:space="preserve">Seasons. </w:t>
      </w:r>
      <w:r>
        <w:rPr>
          <w:rFonts w:ascii="Times New Roman" w:hAnsi="Times New Roman"/>
          <w:b w:val="false"/>
          <w:i w:val="false"/>
          <w:color w:val="000000"/>
          <w:sz w:val="22"/>
        </w:rPr>
        <w:t xml:space="preserve">Bearded (or male) wild turkey may be taken only by the use of shotguns, muzzleloading shotguns, and bow and arrow during the first, second, third or fourth seasons as defined in </w:t>
      </w:r>
      <w:hyperlink r:id="rId14">
        <w:r>
          <w:rPr>
            <w:rStyle w:val="Hyperlink"/>
            <w:rFonts w:ascii="Times New Roman" w:hAnsi="Times New Roman"/>
            <w:b w:val="false"/>
            <w:i w:val="false"/>
            <w:color w:val="000000"/>
            <w:sz w:val="22"/>
          </w:rPr>
          <w:t>98.2(4)</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98.9(3)</w:t>
      </w:r>
      <w:r>
        <w:rPr>
          <w:rFonts w:ascii="Times New Roman" w:hAnsi="Times New Roman"/>
          <w:b w:val="false"/>
          <w:i w:val="false"/>
          <w:color w:val="000000"/>
          <w:sz w:val="22"/>
        </w:rPr>
        <w:t> </w:t>
      </w:r>
      <w:r>
        <w:rPr>
          <w:rFonts w:ascii="Times New Roman" w:hAnsi="Times New Roman"/>
          <w:b w:val="false"/>
          <w:i/>
          <w:color w:val="000000"/>
          <w:sz w:val="22"/>
        </w:rPr>
        <w:t xml:space="preserve">Daily bag, possession and season limits. </w:t>
      </w:r>
      <w:r>
        <w:rPr>
          <w:rFonts w:ascii="Times New Roman" w:hAnsi="Times New Roman"/>
          <w:b w:val="false"/>
          <w:i w:val="false"/>
          <w:color w:val="000000"/>
          <w:sz w:val="22"/>
        </w:rPr>
        <w:t>The daily bag limit is one bearded (or male) wild turkey; the possession and season limit is one bearded (or male) wild turkey.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98.9(4)</w:t>
      </w:r>
      <w:r>
        <w:rPr>
          <w:rFonts w:ascii="Times New Roman" w:hAnsi="Times New Roman"/>
          <w:b w:val="false"/>
          <w:i w:val="false"/>
          <w:color w:val="000000"/>
          <w:sz w:val="22"/>
        </w:rPr>
        <w:t> </w:t>
      </w:r>
      <w:r>
        <w:rPr>
          <w:rFonts w:ascii="Times New Roman" w:hAnsi="Times New Roman"/>
          <w:b w:val="false"/>
          <w:i/>
          <w:color w:val="000000"/>
          <w:sz w:val="22"/>
        </w:rPr>
        <w:t xml:space="preserve">Shooting hours. </w:t>
      </w:r>
      <w:r>
        <w:rPr>
          <w:rFonts w:ascii="Times New Roman" w:hAnsi="Times New Roman"/>
          <w:b w:val="false"/>
          <w:i w:val="false"/>
          <w:color w:val="000000"/>
          <w:sz w:val="22"/>
        </w:rPr>
        <w:t>Shooting hours shall be from one-half hour before sunrise to sunset each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98.9(5)</w:t>
      </w:r>
      <w:r>
        <w:rPr>
          <w:rFonts w:ascii="Times New Roman" w:hAnsi="Times New Roman"/>
          <w:b w:val="false"/>
          <w:i w:val="false"/>
          <w:color w:val="000000"/>
          <w:sz w:val="22"/>
        </w:rPr>
        <w:t> </w:t>
      </w:r>
      <w:r>
        <w:rPr>
          <w:rFonts w:ascii="Times New Roman" w:hAnsi="Times New Roman"/>
          <w:b w:val="false"/>
          <w:i/>
          <w:color w:val="000000"/>
          <w:sz w:val="22"/>
        </w:rPr>
        <w:t xml:space="preserve">Fall special licenses. </w:t>
      </w:r>
      <w:r>
        <w:rPr>
          <w:rFonts w:ascii="Times New Roman" w:hAnsi="Times New Roman"/>
          <w:b w:val="false"/>
          <w:i w:val="false"/>
          <w:color w:val="000000"/>
          <w:sz w:val="22"/>
        </w:rPr>
        <w:t xml:space="preserve">The commission shall issue licenses in conformance with Iowa Code section </w:t>
      </w:r>
      <w:hyperlink r:id="rId15">
        <w:r>
          <w:rPr>
            <w:rStyle w:val="Hyperlink"/>
            <w:rFonts w:ascii="Times New Roman" w:hAnsi="Times New Roman"/>
            <w:b w:val="false"/>
            <w:i w:val="false"/>
            <w:color w:val="000000"/>
            <w:sz w:val="22"/>
          </w:rPr>
          <w:t>483A.24(12)</w:t>
        </w:r>
      </w:hyperlink>
      <w:r>
        <w:rPr>
          <w:rFonts w:ascii="Times New Roman" w:hAnsi="Times New Roman"/>
          <w:b w:val="false"/>
          <w:i w:val="false"/>
          <w:color w:val="000000"/>
          <w:sz w:val="22"/>
        </w:rPr>
        <w:t xml:space="preserve"> to nonresidents 21 years of age or younger who have a severe physical disability or who have been diagnosed with a terminal illness. A person applying for this license must provide a completed form obtained from the department of natural resources. The application shall be certified by the applicant’s attending physician with an original signature and declare that the applicant has a severe physical disability or a terminal illness using the criteria listed in </w:t>
      </w:r>
      <w:hyperlink r:id="rId16">
        <w:r>
          <w:rPr>
            <w:rStyle w:val="Hyperlink"/>
            <w:rFonts w:ascii="Times New Roman" w:hAnsi="Times New Roman"/>
            <w:b w:val="false"/>
            <w:i w:val="false"/>
            <w:color w:val="000000"/>
            <w:sz w:val="22"/>
          </w:rPr>
          <w:t>571—Chapter 15</w:t>
        </w:r>
      </w:hyperlink>
      <w:r>
        <w:rPr>
          <w:rFonts w:ascii="Times New Roman" w:hAnsi="Times New Roman"/>
          <w:b w:val="false"/>
          <w:i w:val="false"/>
          <w:color w:val="000000"/>
          <w:sz w:val="22"/>
        </w:rPr>
        <w:t>. A medical statement from the applicant’s attending physician that specifies criteria met shall be on 8½″ × 11″ letterhead stationery. The attending physician shall be a currently practicing doctor of medicine, doctor of osteopathy, physician assistant or nurse practitioner.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571—98.10</w:t>
      </w:r>
      <w:r>
        <w:rPr>
          <w:rFonts w:ascii="Times New Roman" w:hAnsi="Times New Roman"/>
          <w:b/>
          <w:i w:val="false"/>
          <w:color w:val="000000"/>
          <w:sz w:val="22"/>
        </w:rPr>
        <w:t xml:space="preserve">(483A) </w:t>
      </w:r>
      <w:r>
        <w:rPr>
          <w:rFonts w:ascii="Times New Roman" w:hAnsi="Times New Roman"/>
          <w:b/>
          <w:i w:val="false"/>
          <w:color w:val="000000"/>
          <w:sz w:val="22"/>
        </w:rPr>
        <w:t xml:space="preserve">Zones open to hunting. </w:t>
      </w:r>
      <w:r>
        <w:rPr>
          <w:rFonts w:ascii="Times New Roman" w:hAnsi="Times New Roman"/>
          <w:b w:val="false"/>
          <w:i w:val="false"/>
          <w:color w:val="000000"/>
          <w:sz w:val="22"/>
        </w:rPr>
        <w:t>Licenses shall be valid only in designated areas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Zone 4. Zone 4 is that portion of Iowa bounded on the north by Interstate Highway 80 and on the west by U.S. Highway 59.</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Zone 5. Zone 5 is that portion of Iowa bounded on the north by U.S. Highway 20 and on the east by U.S. Highway 59.</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Zone 6. Zone 6 is that portion of Iowa lying east of U.S. Highway 63 and north of Interstate Highway 80.</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Zone 7. Zone 7 is that portion of Iowa bounded on the north by U.S. Highway 20, on the west by U.S. Highway 59, on the south by Interstate Highway 80, and on the east by U.S. Highway 63.</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Zone 8. Zone 8 is that portion of Iowa north of U.S. Highway 20 and west of U.S. Highway 63.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571—98.11</w:t>
      </w:r>
      <w:r>
        <w:rPr>
          <w:rFonts w:ascii="Times New Roman" w:hAnsi="Times New Roman"/>
          <w:b/>
          <w:i w:val="false"/>
          <w:color w:val="000000"/>
          <w:sz w:val="22"/>
        </w:rPr>
        <w:t xml:space="preserve">(483A) </w:t>
      </w:r>
      <w:r>
        <w:rPr>
          <w:rFonts w:ascii="Times New Roman" w:hAnsi="Times New Roman"/>
          <w:b/>
          <w:i w:val="false"/>
          <w:color w:val="000000"/>
          <w:sz w:val="22"/>
        </w:rPr>
        <w:t xml:space="preserve">License quotas. </w:t>
      </w:r>
      <w:r>
        <w:rPr>
          <w:rFonts w:ascii="Times New Roman" w:hAnsi="Times New Roman"/>
          <w:b w:val="false"/>
          <w:i w:val="false"/>
          <w:color w:val="000000"/>
          <w:sz w:val="22"/>
        </w:rPr>
        <w:t>A limited number of wild turkey hunting licenses will be issued in each zone in each season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98.11(1)</w:t>
      </w:r>
      <w:r>
        <w:rPr>
          <w:rFonts w:ascii="Times New Roman" w:hAnsi="Times New Roman"/>
          <w:b w:val="false"/>
          <w:i w:val="false"/>
          <w:color w:val="000000"/>
          <w:sz w:val="22"/>
        </w:rPr>
        <w:t> </w:t>
      </w:r>
      <w:r>
        <w:rPr>
          <w:rFonts w:ascii="Times New Roman" w:hAnsi="Times New Roman"/>
          <w:b w:val="false"/>
          <w:i/>
          <w:color w:val="000000"/>
          <w:sz w:val="22"/>
        </w:rPr>
        <w:t xml:space="preserve">Combination shotgun-or-archery licenses.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Zone 4: 262.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Zone 5: 55.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Zone 6: 165.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Zone 7: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Zone 8: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98.11(2)</w:t>
      </w:r>
      <w:r>
        <w:rPr>
          <w:rFonts w:ascii="Times New Roman" w:hAnsi="Times New Roman"/>
          <w:b w:val="false"/>
          <w:i w:val="false"/>
          <w:color w:val="000000"/>
          <w:sz w:val="22"/>
        </w:rPr>
        <w:t> </w:t>
      </w:r>
      <w:r>
        <w:rPr>
          <w:rFonts w:ascii="Times New Roman" w:hAnsi="Times New Roman"/>
          <w:b w:val="false"/>
          <w:i/>
          <w:color w:val="000000"/>
          <w:sz w:val="22"/>
        </w:rPr>
        <w:t xml:space="preserve">Muzzleloading shotgun-only licenses. </w:t>
      </w:r>
      <w:r>
        <w:rPr>
          <w:rFonts w:ascii="Times New Roman" w:hAnsi="Times New Roman"/>
          <w:b w:val="false"/>
          <w:i w:val="false"/>
          <w:color w:val="000000"/>
          <w:sz w:val="22"/>
        </w:rPr>
        <w:t>150 statewide. A hunter purchasing a muzzleloading shotgun license must declare a zone and season and hunt only in that zone and season.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571—98.12</w:t>
      </w:r>
      <w:r>
        <w:rPr>
          <w:rFonts w:ascii="Times New Roman" w:hAnsi="Times New Roman"/>
          <w:b/>
          <w:i w:val="false"/>
          <w:color w:val="000000"/>
          <w:sz w:val="22"/>
        </w:rPr>
        <w:t xml:space="preserve">(483A) </w:t>
      </w:r>
      <w:r>
        <w:rPr>
          <w:rFonts w:ascii="Times New Roman" w:hAnsi="Times New Roman"/>
          <w:b/>
          <w:i w:val="false"/>
          <w:color w:val="000000"/>
          <w:sz w:val="22"/>
        </w:rPr>
        <w:t xml:space="preserve">Means and method of take.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98.12(1)</w:t>
      </w:r>
      <w:r>
        <w:rPr>
          <w:rFonts w:ascii="Times New Roman" w:hAnsi="Times New Roman"/>
          <w:b w:val="false"/>
          <w:i w:val="false"/>
          <w:color w:val="000000"/>
          <w:sz w:val="22"/>
        </w:rPr>
        <w:t> </w:t>
      </w:r>
      <w:r>
        <w:rPr>
          <w:rFonts w:ascii="Times New Roman" w:hAnsi="Times New Roman"/>
          <w:b w:val="false"/>
          <w:i/>
          <w:color w:val="000000"/>
          <w:sz w:val="22"/>
        </w:rPr>
        <w:t xml:space="preserve">Permitted weapons. </w:t>
      </w:r>
      <w:r>
        <w:rPr>
          <w:rFonts w:ascii="Times New Roman" w:hAnsi="Times New Roman"/>
          <w:b w:val="false"/>
          <w:i w:val="false"/>
          <w:color w:val="000000"/>
          <w:sz w:val="22"/>
        </w:rPr>
        <w:t xml:space="preserve">Wild turkey may be taken only with shotguns and muzzleloading shotguns not smaller than caliber .410 and shooting only shot sizes number 4 through 10 (lead or nontoxic) shot. No person may have shotshells containing shot of any size other than number 4 through 10 (lead or nontoxic) shot on the person while hunting wild turkey. Except for crossbows for persons with certain afflictions of the upper body, as provided in </w:t>
      </w:r>
      <w:hyperlink r:id="rId17">
        <w:r>
          <w:rPr>
            <w:rStyle w:val="Hyperlink"/>
            <w:rFonts w:ascii="Times New Roman" w:hAnsi="Times New Roman"/>
            <w:b w:val="false"/>
            <w:i w:val="false"/>
            <w:color w:val="000000"/>
            <w:sz w:val="22"/>
          </w:rPr>
          <w:t>571—15.22</w:t>
        </w:r>
      </w:hyperlink>
      <w:r>
        <w:rPr>
          <w:rFonts w:ascii="Times New Roman" w:hAnsi="Times New Roman"/>
          <w:b w:val="false"/>
          <w:i w:val="false"/>
          <w:color w:val="000000"/>
          <w:sz w:val="22"/>
        </w:rPr>
        <w:t>(481A), only longbow, compound, or recurve bows shooting broadhead arrows are permitted. Blunthead arrows with a minimum diameter of 9/16 inch may also be used. Arrows must be at least 18 inches long. No explosive or chemical devices may be attached to the arrow, broadhead, or blunthead.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98.12(2)</w:t>
      </w:r>
      <w:r>
        <w:rPr>
          <w:rFonts w:ascii="Times New Roman" w:hAnsi="Times New Roman"/>
          <w:b w:val="false"/>
          <w:i w:val="false"/>
          <w:color w:val="000000"/>
          <w:sz w:val="22"/>
        </w:rPr>
        <w:t> </w:t>
      </w:r>
      <w:r>
        <w:rPr>
          <w:rFonts w:ascii="Times New Roman" w:hAnsi="Times New Roman"/>
          <w:b w:val="false"/>
          <w:i/>
          <w:color w:val="000000"/>
          <w:sz w:val="22"/>
        </w:rPr>
        <w:t xml:space="preserve">Prohibited devices. </w:t>
      </w:r>
      <w:r>
        <w:rPr>
          <w:rFonts w:ascii="Times New Roman" w:hAnsi="Times New Roman"/>
          <w:b w:val="false"/>
          <w:i w:val="false"/>
          <w:color w:val="000000"/>
          <w:sz w:val="22"/>
        </w:rPr>
        <w:t>The use of live decoys, dogs, horses, motorized vehicles, aircraft, bait, crossbows, except as otherwise provided, and the use or aid of recorded or electronically amplified bird calls or sounds, or recorded or electronically amplified imitations of bird calls or sounds are prohibited, except that paraplegics and single or double amputees of the legs may hunt from any stationary motor-driven land conveyance. “Paraplegic” means an individual afflicted with paralysis of the lower half of the body with the involvement of both legs, usually due to disease of or injury to the spinal cord. “Bait” means grain, fruit, vegetables, nuts or any other natural food materials; commercial products containing natural food materials; or by-products of such materials transported to or placed in an area for the intent of attracting wildlife.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571—98.13</w:t>
      </w:r>
      <w:r>
        <w:rPr>
          <w:rFonts w:ascii="Times New Roman" w:hAnsi="Times New Roman"/>
          <w:b/>
          <w:i w:val="false"/>
          <w:color w:val="000000"/>
          <w:sz w:val="22"/>
        </w:rPr>
        <w:t xml:space="preserve">(483A) </w:t>
      </w:r>
      <w:r>
        <w:rPr>
          <w:rFonts w:ascii="Times New Roman" w:hAnsi="Times New Roman"/>
          <w:b/>
          <w:i w:val="false"/>
          <w:color w:val="000000"/>
          <w:sz w:val="22"/>
        </w:rPr>
        <w:t xml:space="preserve">Application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98.13(1)</w:t>
      </w:r>
      <w:r>
        <w:rPr>
          <w:rFonts w:ascii="Times New Roman" w:hAnsi="Times New Roman"/>
          <w:b w:val="false"/>
          <w:i w:val="false"/>
          <w:color w:val="000000"/>
          <w:sz w:val="22"/>
        </w:rPr>
        <w:t> </w:t>
      </w:r>
      <w:r>
        <w:rPr>
          <w:rFonts w:ascii="Times New Roman" w:hAnsi="Times New Roman"/>
          <w:b w:val="false"/>
          <w:i w:val="false"/>
          <w:color w:val="000000"/>
          <w:sz w:val="22"/>
        </w:rPr>
        <w:t>Applications for nonresident wild turkey spring hunting licenses must be made through the ELSI telephone ordering system or the ELSI Internet license sales website. Applications will be accepted from December 15 through the last Sunday in January. No one may submit more than one application during the application period. If applications have been sold in excess of the license quota for any license type, zone, or season, a drawing will be held to determine which applicants receive licenses. Licenses or refunds of license fees will be mailed to applicants after the drawing is completed. License agent writing fees, department administrative fees, Internet sales charges and telephone order charges will not be refunded. If any license quota has not been filled, the excess licenses will be sold first-come, first-served through the telephone ordering system or the Internet license sales website beginning at 6 a.m. the second Saturday after the close of the application period until the quota has been filled or the last day of the season for which the license is valid, whichever occurs first. No one may obtain more than one nonresident wild turkey spring hunting license. Hunters may apply individually or as a group of up to 15 applicants. All members of a group will be accepted or rejected as a group in the drawing. If a group is rejected, members of that group may purchase licenses individually if excess licenses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98.13(2)</w:t>
      </w:r>
      <w:r>
        <w:rPr>
          <w:rFonts w:ascii="Times New Roman" w:hAnsi="Times New Roman"/>
          <w:b w:val="false"/>
          <w:i w:val="false"/>
          <w:color w:val="000000"/>
          <w:sz w:val="22"/>
        </w:rPr>
        <w:t> </w:t>
      </w:r>
      <w:r>
        <w:rPr>
          <w:rFonts w:ascii="Times New Roman" w:hAnsi="Times New Roman"/>
          <w:b w:val="false"/>
          <w:i w:val="false"/>
          <w:color w:val="000000"/>
          <w:sz w:val="22"/>
        </w:rPr>
        <w:t>Each individual applicant who is unsuccessful in the drawing will be assigned one preference point for each year in which the individual applies and is unsuccessful. If a person who was unsuccessful in the drawing purchases a leftover license within four weeks, the person will receive a refund for the cost of the preference point. Preference points will not accrue in a year in which an applicant fails to apply, but the applicant will retain any preference points previously earned. Once an applicant receives a license, all preference points will be erased. Preference points will apply to any zone or season for which a hunter applies. The first license drawing each year will be made from the pool of applicants with the most preference points. If licenses are still available after the first drawing, subsequent drawings will be made from pools of applicants with successively fewer preference points and continue until the license quota is reached or all applicants have received licenses. Applicants who apply as a group will be included in a pool of applicants with the same number of preference points as that of the member of the group with the fewest preference points assigned.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571—98.14</w:t>
      </w:r>
      <w:r>
        <w:rPr>
          <w:rFonts w:ascii="Times New Roman" w:hAnsi="Times New Roman"/>
          <w:b/>
          <w:i w:val="false"/>
          <w:color w:val="000000"/>
          <w:sz w:val="22"/>
        </w:rPr>
        <w:t xml:space="preserve">(483A) </w:t>
      </w:r>
      <w:r>
        <w:rPr>
          <w:rFonts w:ascii="Times New Roman" w:hAnsi="Times New Roman"/>
          <w:b/>
          <w:i w:val="false"/>
          <w:color w:val="000000"/>
          <w:sz w:val="22"/>
        </w:rPr>
        <w:t xml:space="preserve">Transportation tag. </w:t>
      </w:r>
      <w:r>
        <w:rPr>
          <w:rFonts w:ascii="Times New Roman" w:hAnsi="Times New Roman"/>
          <w:b w:val="false"/>
          <w:i w:val="false"/>
          <w:color w:val="000000"/>
          <w:sz w:val="22"/>
        </w:rPr>
        <w:t>Immediately upon the killing of a wild turkey, the transportation tag issued with the license and bearing the license number of the licensee, year of issuance, and date of kill properly shown shall be visibly attached to one leg of the turkey. The hunter who shot the turkey must use the transportation tag issued to that hunter to tag the turkey. No one may tag a turkey with a transportation tag issued to another hunter. The tag must be attached in such a manner that it cannot be removed without mutilating or destroying the tag. The tag must be attached before the carcass can be moved in any manner from the place of kill. The transportation tag shall remain affixed to the leg of the turkey until the turkey is processed for consumption. The leg that bears the tag must be attached to the carcass of any wild turkey being transported within the state during any wild turkey spring hunting season. The tag shall be proof of possession of the carcass by the above-mentioned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571—98.15</w:t>
      </w:r>
      <w:r>
        <w:rPr>
          <w:rFonts w:ascii="Times New Roman" w:hAnsi="Times New Roman"/>
          <w:b/>
          <w:i w:val="false"/>
          <w:color w:val="000000"/>
          <w:sz w:val="22"/>
        </w:rPr>
        <w:t xml:space="preserve">(481A) </w:t>
      </w:r>
      <w:r>
        <w:rPr>
          <w:rFonts w:ascii="Times New Roman" w:hAnsi="Times New Roman"/>
          <w:b/>
          <w:i w:val="false"/>
          <w:color w:val="000000"/>
          <w:sz w:val="22"/>
        </w:rPr>
        <w:t xml:space="preserve">Harvest reporting. </w:t>
      </w:r>
      <w:r>
        <w:rPr>
          <w:rFonts w:ascii="Times New Roman" w:hAnsi="Times New Roman"/>
          <w:b w:val="false"/>
          <w:i w:val="false"/>
          <w:color w:val="000000"/>
          <w:sz w:val="22"/>
        </w:rPr>
        <w:t xml:space="preserve">Each hunter who bags a turkey must report that kill according to procedures described in </w:t>
      </w:r>
      <w:hyperlink r:id="rId18">
        <w:r>
          <w:rPr>
            <w:rStyle w:val="Hyperlink"/>
            <w:rFonts w:ascii="Times New Roman" w:hAnsi="Times New Roman"/>
            <w:b w:val="false"/>
            <w:i w:val="false"/>
            <w:color w:val="000000"/>
            <w:sz w:val="22"/>
          </w:rPr>
          <w:t>571—95.1</w:t>
        </w:r>
      </w:hyperlink>
      <w:r>
        <w:rPr>
          <w:rFonts w:ascii="Times New Roman" w:hAnsi="Times New Roman"/>
          <w:b w:val="false"/>
          <w:i w:val="false"/>
          <w:color w:val="000000"/>
          <w:sz w:val="22"/>
        </w:rPr>
        <w:t>(481A).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9">
        <w:r>
          <w:rPr>
            <w:rStyle w:val="Hyperlink"/>
            <w:rFonts w:ascii="Times New Roman" w:hAnsi="Times New Roman"/>
            <w:b w:val="false"/>
            <w:i w:val="false"/>
            <w:color w:val="000000"/>
            <w:sz w:val="22"/>
          </w:rPr>
          <w:t>481A.38</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481A.39</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481A.48</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483A.1</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483A.7</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483A.24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11/18/76—published 12/15/76, effective 11/18/76]</w:t>
      </w:r>
    </w:p>
    <w:p>
      <w:pPr>
        <w:spacing w:before="0" w:after="0"/>
        <w:ind w:left="120"/>
        <w:jc w:val="center"/>
      </w:pPr>
      <w:r>
        <w:rPr>
          <w:rFonts w:ascii="Times New Roman" w:hAnsi="Times New Roman"/>
          <w:b w:val="false"/>
          <w:i w:val="false"/>
          <w:color w:val="000000"/>
          <w:sz w:val="21"/>
        </w:rPr>
        <w:t>[Filed 12/9/77, Notice 11/2/77—published 12/28/77, effective 2/1/78]</w:t>
      </w:r>
    </w:p>
    <w:p>
      <w:pPr>
        <w:spacing w:before="0" w:after="0"/>
        <w:ind w:left="120"/>
        <w:jc w:val="center"/>
      </w:pPr>
      <w:r>
        <w:rPr>
          <w:rFonts w:ascii="Times New Roman" w:hAnsi="Times New Roman"/>
          <w:b w:val="false"/>
          <w:i w:val="false"/>
          <w:color w:val="000000"/>
          <w:sz w:val="21"/>
        </w:rPr>
        <w:t>[Filed 12/7/78, Notice 10/18/78—published 12/27/78, effective 1/31/79]</w:t>
      </w:r>
    </w:p>
    <w:p>
      <w:pPr>
        <w:spacing w:before="0" w:after="0"/>
        <w:ind w:left="120"/>
        <w:jc w:val="center"/>
      </w:pPr>
      <w:r>
        <w:rPr>
          <w:rFonts w:ascii="Times New Roman" w:hAnsi="Times New Roman"/>
          <w:b w:val="false"/>
          <w:i w:val="false"/>
          <w:color w:val="000000"/>
          <w:sz w:val="21"/>
        </w:rPr>
        <w:t>[Filed 12/5/79, Notice 10/31/79—published 12/26/79, effective 1/30/80]</w:t>
      </w:r>
    </w:p>
    <w:p>
      <w:pPr>
        <w:spacing w:before="0" w:after="0"/>
        <w:ind w:left="120"/>
        <w:jc w:val="center"/>
      </w:pPr>
      <w:r>
        <w:rPr>
          <w:rFonts w:ascii="Times New Roman" w:hAnsi="Times New Roman"/>
          <w:b w:val="false"/>
          <w:i w:val="false"/>
          <w:color w:val="000000"/>
          <w:sz w:val="21"/>
        </w:rPr>
        <w:t>[Filed 11/7/80, Notice 9/17/80—published 11/26/80, effective 1/1/81]</w:t>
      </w:r>
    </w:p>
    <w:p>
      <w:pPr>
        <w:spacing w:before="0" w:after="0"/>
        <w:ind w:left="120"/>
        <w:jc w:val="center"/>
      </w:pPr>
      <w:r>
        <w:rPr>
          <w:rFonts w:ascii="Times New Roman" w:hAnsi="Times New Roman"/>
          <w:b w:val="false"/>
          <w:i w:val="false"/>
          <w:color w:val="000000"/>
          <w:sz w:val="21"/>
        </w:rPr>
        <w:t>[Filed 11/6/81, Notice 9/30/81—published 11/25/81, effective 1/1/82]</w:t>
      </w:r>
    </w:p>
    <w:p>
      <w:pPr>
        <w:spacing w:before="0" w:after="0"/>
        <w:ind w:left="120"/>
        <w:jc w:val="center"/>
      </w:pPr>
      <w:r>
        <w:rPr>
          <w:rFonts w:ascii="Times New Roman" w:hAnsi="Times New Roman"/>
          <w:b w:val="false"/>
          <w:i w:val="false"/>
          <w:color w:val="000000"/>
          <w:sz w:val="21"/>
        </w:rPr>
        <w:t>[Filed 11/5/82, Notice 9/29/82—published 11/24/82, effective 1/1/83]</w:t>
      </w:r>
    </w:p>
    <w:p>
      <w:pPr>
        <w:spacing w:before="0" w:after="0"/>
        <w:ind w:left="120"/>
        <w:jc w:val="center"/>
      </w:pPr>
      <w:r>
        <w:rPr>
          <w:rFonts w:ascii="Times New Roman" w:hAnsi="Times New Roman"/>
          <w:b w:val="false"/>
          <w:i w:val="false"/>
          <w:color w:val="000000"/>
          <w:sz w:val="21"/>
        </w:rPr>
        <w:t>[Filed 11/10/83, Notice 9/28/83—published 12/7/83, effective 1/11/84]</w:t>
      </w:r>
    </w:p>
    <w:p>
      <w:pPr>
        <w:spacing w:before="0" w:after="0"/>
        <w:ind w:left="120"/>
        <w:jc w:val="center"/>
      </w:pPr>
      <w:r>
        <w:rPr>
          <w:rFonts w:ascii="Times New Roman" w:hAnsi="Times New Roman"/>
          <w:b w:val="false"/>
          <w:i w:val="false"/>
          <w:color w:val="000000"/>
          <w:sz w:val="21"/>
        </w:rPr>
        <w:t>[Filed 11/2/84, Notice 9/26/84—published 11/21/84, effective 1/1/85]</w:t>
      </w:r>
    </w:p>
    <w:p>
      <w:pPr>
        <w:spacing w:before="0" w:after="0"/>
        <w:ind w:left="120"/>
        <w:jc w:val="center"/>
      </w:pPr>
      <w:r>
        <w:rPr>
          <w:rFonts w:ascii="Times New Roman" w:hAnsi="Times New Roman"/>
          <w:b w:val="false"/>
          <w:i w:val="false"/>
          <w:color w:val="000000"/>
          <w:sz w:val="21"/>
        </w:rPr>
        <w:t>[Filed emergency 2/26/85—published 3/13/85, effective 2/26/85]</w:t>
      </w:r>
    </w:p>
    <w:p>
      <w:pPr>
        <w:spacing w:before="0" w:after="0"/>
        <w:ind w:left="120"/>
        <w:jc w:val="center"/>
      </w:pPr>
      <w:r>
        <w:rPr>
          <w:rFonts w:ascii="Times New Roman" w:hAnsi="Times New Roman"/>
          <w:b w:val="false"/>
          <w:i w:val="false"/>
          <w:color w:val="000000"/>
          <w:sz w:val="21"/>
        </w:rPr>
        <w:t>[Filed 11/14/85, Notice 9/25/85—published 12/4/85, effective 1/8/86]</w:t>
      </w:r>
    </w:p>
    <w:p>
      <w:pPr>
        <w:spacing w:before="0" w:after="0"/>
        <w:ind w:left="120"/>
        <w:jc w:val="center"/>
      </w:pPr>
      <w:r>
        <w:rPr>
          <w:rFonts w:ascii="Times New Roman" w:hAnsi="Times New Roman"/>
          <w:b w:val="false"/>
          <w:i w:val="false"/>
          <w:color w:val="000000"/>
          <w:sz w:val="21"/>
        </w:rPr>
        <w:t>[Filed 11/14/86, Notice 9/24/86—published 12/3/86, effective 1/7/87]</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11/13/87, Notice 9/23/87—published 12/2/87, effective 1/6/88]</w:t>
      </w:r>
    </w:p>
    <w:p>
      <w:pPr>
        <w:spacing w:before="0" w:after="0"/>
        <w:ind w:left="120"/>
        <w:jc w:val="center"/>
      </w:pPr>
      <w:r>
        <w:rPr>
          <w:rFonts w:ascii="Times New Roman" w:hAnsi="Times New Roman"/>
          <w:b w:val="false"/>
          <w:i w:val="false"/>
          <w:color w:val="000000"/>
          <w:sz w:val="21"/>
        </w:rPr>
        <w:t>[Filed 11/10/88, Notice 9/21/88—published 11/30/88, effective 1/4/89]</w:t>
      </w:r>
    </w:p>
    <w:p>
      <w:pPr>
        <w:spacing w:before="0" w:after="0"/>
        <w:ind w:left="120"/>
        <w:jc w:val="center"/>
      </w:pPr>
      <w:r>
        <w:rPr>
          <w:rFonts w:ascii="Times New Roman" w:hAnsi="Times New Roman"/>
          <w:b w:val="false"/>
          <w:i w:val="false"/>
          <w:color w:val="000000"/>
          <w:sz w:val="21"/>
        </w:rPr>
        <w:t>[Filed emergency 12/8/89 after Notice 10/4/89—published 12/27/89, effective 12/8/89]</w:t>
      </w:r>
    </w:p>
    <w:p>
      <w:pPr>
        <w:spacing w:before="0" w:after="0"/>
        <w:ind w:left="120"/>
        <w:jc w:val="center"/>
      </w:pPr>
      <w:r>
        <w:rPr>
          <w:rFonts w:ascii="Times New Roman" w:hAnsi="Times New Roman"/>
          <w:b w:val="false"/>
          <w:i w:val="false"/>
          <w:color w:val="000000"/>
          <w:sz w:val="21"/>
        </w:rPr>
        <w:t>[Filed emergency 2/12/90 after Notice 12/27/89—published 3/7/90, effective 2/12/90]</w:t>
      </w:r>
    </w:p>
    <w:p>
      <w:pPr>
        <w:spacing w:before="0" w:after="0"/>
        <w:ind w:left="120"/>
        <w:jc w:val="center"/>
      </w:pPr>
      <w:r>
        <w:rPr>
          <w:rFonts w:ascii="Times New Roman" w:hAnsi="Times New Roman"/>
          <w:b w:val="false"/>
          <w:i w:val="false"/>
          <w:color w:val="000000"/>
          <w:sz w:val="21"/>
        </w:rPr>
        <w:t>[Filed emergency 12/7/90 after Notice 10/3/90—published 12/26/90, effective 12/7/90]</w:t>
      </w:r>
    </w:p>
    <w:p>
      <w:pPr>
        <w:spacing w:before="0" w:after="0"/>
        <w:ind w:left="120"/>
        <w:jc w:val="center"/>
      </w:pPr>
      <w:r>
        <w:rPr>
          <w:rFonts w:ascii="Times New Roman" w:hAnsi="Times New Roman"/>
          <w:b w:val="false"/>
          <w:i w:val="false"/>
          <w:color w:val="000000"/>
          <w:sz w:val="21"/>
        </w:rPr>
        <w:t>[Filed 11/8/91, Notice 10/2/91—published 11/27/91, effective 1/1/92]</w:t>
      </w:r>
    </w:p>
    <w:p>
      <w:pPr>
        <w:spacing w:before="0" w:after="0"/>
        <w:ind w:left="120"/>
        <w:jc w:val="center"/>
      </w:pPr>
      <w:r>
        <w:rPr>
          <w:rFonts w:ascii="Times New Roman" w:hAnsi="Times New Roman"/>
          <w:b w:val="false"/>
          <w:i w:val="false"/>
          <w:color w:val="000000"/>
          <w:sz w:val="21"/>
        </w:rPr>
        <w:t>[Filed 11/6/92, Notice 9/30/92—published 11/25/92, effective 1/1/93]</w:t>
      </w:r>
    </w:p>
    <w:p>
      <w:pPr>
        <w:spacing w:before="0" w:after="0"/>
        <w:ind w:left="120"/>
        <w:jc w:val="center"/>
      </w:pPr>
      <w:r>
        <w:rPr>
          <w:rFonts w:ascii="Times New Roman" w:hAnsi="Times New Roman"/>
          <w:b w:val="false"/>
          <w:i w:val="false"/>
          <w:color w:val="000000"/>
          <w:sz w:val="21"/>
        </w:rPr>
        <w:t>[Filed 11/5/93, Notice 9/29/93—published 11/24/93, effective 12/29/93]</w:t>
      </w:r>
    </w:p>
    <w:p>
      <w:pPr>
        <w:spacing w:before="0" w:after="0"/>
        <w:ind w:left="120"/>
        <w:jc w:val="center"/>
      </w:pPr>
      <w:r>
        <w:rPr>
          <w:rFonts w:ascii="Times New Roman" w:hAnsi="Times New Roman"/>
          <w:b w:val="false"/>
          <w:i w:val="false"/>
          <w:color w:val="000000"/>
          <w:sz w:val="21"/>
        </w:rPr>
        <w:t>[Filed 11/18/94, Notice 9/28/94—published 12/7/94, effective 1/11/95]</w:t>
      </w:r>
    </w:p>
    <w:p>
      <w:pPr>
        <w:spacing w:before="0" w:after="0"/>
        <w:ind w:left="120"/>
        <w:jc w:val="center"/>
      </w:pPr>
      <w:r>
        <w:rPr>
          <w:rFonts w:ascii="Times New Roman" w:hAnsi="Times New Roman"/>
          <w:b w:val="false"/>
          <w:i w:val="false"/>
          <w:color w:val="000000"/>
          <w:sz w:val="21"/>
        </w:rPr>
        <w:t>[Filed 11/16/95, Notice 9/27/95—published 12/6/95, effective 1/10/96]</w:t>
      </w:r>
    </w:p>
    <w:p>
      <w:pPr>
        <w:spacing w:before="0" w:after="0"/>
        <w:ind w:left="120"/>
        <w:jc w:val="center"/>
      </w:pPr>
      <w:r>
        <w:rPr>
          <w:rFonts w:ascii="Times New Roman" w:hAnsi="Times New Roman"/>
          <w:b w:val="false"/>
          <w:i w:val="false"/>
          <w:color w:val="000000"/>
          <w:sz w:val="21"/>
        </w:rPr>
        <w:t>[Filed 11/15/96, Notice 10/9/96—published 12/4/96, effective 1/10/97]</w:t>
      </w:r>
    </w:p>
    <w:p>
      <w:pPr>
        <w:spacing w:before="0" w:after="0"/>
        <w:ind w:left="120"/>
        <w:jc w:val="center"/>
      </w:pPr>
      <w:r>
        <w:rPr>
          <w:rFonts w:ascii="Times New Roman" w:hAnsi="Times New Roman"/>
          <w:b w:val="false"/>
          <w:i w:val="false"/>
          <w:color w:val="000000"/>
          <w:sz w:val="21"/>
        </w:rPr>
        <w:t>[Filed 11/14/97, Notice 10/8/97—published 12/3/97, effective 1/7/98]</w:t>
      </w:r>
    </w:p>
    <w:p>
      <w:pPr>
        <w:spacing w:before="0" w:after="0"/>
        <w:ind w:left="120"/>
        <w:jc w:val="center"/>
      </w:pPr>
      <w:r>
        <w:rPr>
          <w:rFonts w:ascii="Times New Roman" w:hAnsi="Times New Roman"/>
          <w:b w:val="false"/>
          <w:i w:val="false"/>
          <w:color w:val="000000"/>
          <w:sz w:val="21"/>
        </w:rPr>
        <w:t>[Filed 11/13/98, Notice 10/7/98—published 12/2/98, effective 1/6/99]</w:t>
      </w:r>
    </w:p>
    <w:p>
      <w:pPr>
        <w:spacing w:before="0" w:after="0"/>
        <w:ind w:left="120"/>
        <w:jc w:val="center"/>
      </w:pPr>
      <w:r>
        <w:rPr>
          <w:rFonts w:ascii="Times New Roman" w:hAnsi="Times New Roman"/>
          <w:b w:val="false"/>
          <w:i w:val="false"/>
          <w:color w:val="000000"/>
          <w:sz w:val="21"/>
        </w:rPr>
        <w:t>[Filed 11/12/99, Notice 9/8/99—published 12/1/99, effective 1/5/00]</w:t>
      </w:r>
    </w:p>
    <w:p>
      <w:pPr>
        <w:spacing w:before="0" w:after="0"/>
        <w:ind w:left="120"/>
        <w:jc w:val="center"/>
      </w:pPr>
      <w:r>
        <w:rPr>
          <w:rFonts w:ascii="Times New Roman" w:hAnsi="Times New Roman"/>
          <w:b w:val="false"/>
          <w:i w:val="false"/>
          <w:color w:val="000000"/>
          <w:sz w:val="21"/>
        </w:rPr>
        <w:t>[Filed 11/13/00, Notice 10/4/00—published 11/29/00, effective 1/3/01]</w:t>
      </w:r>
    </w:p>
    <w:p>
      <w:pPr>
        <w:spacing w:before="0" w:after="0"/>
        <w:ind w:left="120"/>
        <w:jc w:val="center"/>
      </w:pPr>
      <w:r>
        <w:rPr>
          <w:rFonts w:ascii="Times New Roman" w:hAnsi="Times New Roman"/>
          <w:b w:val="false"/>
          <w:i w:val="false"/>
          <w:color w:val="000000"/>
          <w:sz w:val="21"/>
        </w:rPr>
        <w:t>[Filed emergency 3/14/01—published 4/4/01, effective 3/14/01]</w:t>
      </w:r>
    </w:p>
    <w:p>
      <w:pPr>
        <w:spacing w:before="0" w:after="0"/>
        <w:ind w:left="120"/>
        <w:jc w:val="center"/>
      </w:pPr>
      <w:r>
        <w:rPr>
          <w:rFonts w:ascii="Times New Roman" w:hAnsi="Times New Roman"/>
          <w:b w:val="false"/>
          <w:i w:val="false"/>
          <w:color w:val="000000"/>
          <w:sz w:val="21"/>
        </w:rPr>
        <w:t>[Filed 10/12/01, Notice 9/5/01—published 10/31/01, effective 12/5/01]</w:t>
      </w:r>
    </w:p>
    <w:p>
      <w:pPr>
        <w:spacing w:before="0" w:after="0"/>
        <w:ind w:left="120"/>
        <w:jc w:val="center"/>
      </w:pPr>
      <w:r>
        <w:rPr>
          <w:rFonts w:ascii="Times New Roman" w:hAnsi="Times New Roman"/>
          <w:b w:val="false"/>
          <w:i w:val="false"/>
          <w:color w:val="000000"/>
          <w:sz w:val="21"/>
        </w:rPr>
        <w:t>[Filed 11/21/02, Notice 9/4/02—published 12/11/02, effective 1/15/03]</w:t>
      </w:r>
    </w:p>
    <w:p>
      <w:pPr>
        <w:spacing w:before="0" w:after="0"/>
        <w:ind w:left="120"/>
        <w:jc w:val="center"/>
      </w:pPr>
      <w:r>
        <w:rPr>
          <w:rFonts w:ascii="Times New Roman" w:hAnsi="Times New Roman"/>
          <w:b w:val="false"/>
          <w:i w:val="false"/>
          <w:color w:val="000000"/>
          <w:sz w:val="21"/>
        </w:rPr>
        <w:t>[Filed 11/19/03, Notice 9/3/03—published 12/10/03, effective 1/14/04]</w:t>
      </w:r>
    </w:p>
    <w:p>
      <w:pPr>
        <w:spacing w:before="0" w:after="0"/>
        <w:ind w:left="120"/>
        <w:jc w:val="center"/>
      </w:pPr>
      <w:r>
        <w:rPr>
          <w:rFonts w:ascii="Times New Roman" w:hAnsi="Times New Roman"/>
          <w:b w:val="false"/>
          <w:i w:val="false"/>
          <w:color w:val="000000"/>
          <w:sz w:val="21"/>
        </w:rPr>
        <w:t>[Filed 11/17/04, Notice 9/1/04—published 12/8/04, effective 1/12/05]</w:t>
      </w:r>
    </w:p>
    <w:p>
      <w:pPr>
        <w:spacing w:before="0" w:after="0"/>
        <w:ind w:left="120"/>
        <w:jc w:val="center"/>
      </w:pPr>
      <w:r>
        <w:rPr>
          <w:rFonts w:ascii="Times New Roman" w:hAnsi="Times New Roman"/>
          <w:b w:val="false"/>
          <w:i w:val="false"/>
          <w:color w:val="000000"/>
          <w:sz w:val="21"/>
        </w:rPr>
        <w:t>[Filed 6/28/05, Notice 3/30/05—published 7/20/05, effective 8/24/05]</w:t>
      </w:r>
    </w:p>
    <w:p>
      <w:pPr>
        <w:spacing w:before="0" w:after="0"/>
        <w:ind w:left="120"/>
        <w:jc w:val="center"/>
      </w:pPr>
      <w:r>
        <w:rPr>
          <w:rFonts w:ascii="Times New Roman" w:hAnsi="Times New Roman"/>
          <w:b w:val="false"/>
          <w:i w:val="false"/>
          <w:color w:val="000000"/>
          <w:sz w:val="21"/>
        </w:rPr>
        <w:t>[Filed 5/17/06, Notice 3/29/06—published 6/7/06, effective 7/12/06]</w:t>
      </w:r>
    </w:p>
    <w:p>
      <w:pPr>
        <w:spacing w:before="0" w:after="0"/>
        <w:ind w:left="120"/>
        <w:jc w:val="center"/>
      </w:pPr>
      <w:r>
        <w:rPr>
          <w:rFonts w:ascii="Times New Roman" w:hAnsi="Times New Roman"/>
          <w:b w:val="false"/>
          <w:i w:val="false"/>
          <w:color w:val="000000"/>
          <w:sz w:val="21"/>
        </w:rPr>
        <w:t>[Filed 5/21/07, Notice 3/28/07—published 6/20/07, effective 7/25/07]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8/20/08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8253B</w:t>
      </w:r>
      <w:r>
        <w:rPr>
          <w:rFonts w:ascii="Times New Roman" w:hAnsi="Times New Roman"/>
          <w:b w:val="false"/>
          <w:i w:val="false"/>
          <w:color w:val="000000"/>
          <w:sz w:val="21"/>
        </w:rPr>
        <w:t xml:space="preserve"> (Notice ARC 8017B, IAB 7/29/09)</w:t>
      </w:r>
      <w:r>
        <w:rPr>
          <w:rFonts w:ascii="Times New Roman" w:hAnsi="Times New Roman"/>
          <w:b w:val="false"/>
          <w:i w:val="false"/>
          <w:color w:val="000000"/>
          <w:sz w:val="21"/>
        </w:rPr>
        <w:t>, IAB 11/4/09, effective 12/9/09]</w:t>
      </w:r>
    </w:p>
    <w:p>
      <w:pPr>
        <w:spacing w:before="0" w:after="0"/>
        <w:ind w:left="120"/>
        <w:jc w:val="center"/>
      </w:pPr>
      <w:r>
        <w:rPr>
          <w:rFonts w:ascii="Times New Roman" w:hAnsi="Times New Roman"/>
          <w:b w:val="false"/>
          <w:i w:val="false"/>
          <w:color w:val="000000"/>
          <w:sz w:val="21"/>
        </w:rPr>
        <w:t>[Filed ARC 9656B</w:t>
      </w:r>
      <w:r>
        <w:rPr>
          <w:rFonts w:ascii="Times New Roman" w:hAnsi="Times New Roman"/>
          <w:b w:val="false"/>
          <w:i w:val="false"/>
          <w:color w:val="000000"/>
          <w:sz w:val="21"/>
        </w:rPr>
        <w:t xml:space="preserve"> (Notice ARC 9507B, IAB 5/18/11)</w:t>
      </w:r>
      <w:r>
        <w:rPr>
          <w:rFonts w:ascii="Times New Roman" w:hAnsi="Times New Roman"/>
          <w:b w:val="false"/>
          <w:i w:val="false"/>
          <w:color w:val="000000"/>
          <w:sz w:val="21"/>
        </w:rPr>
        <w:t>, IAB 8/10/11, effective 9/14/11]</w:t>
      </w:r>
    </w:p>
    <w:p>
      <w:pPr>
        <w:spacing w:before="0" w:after="0"/>
        <w:ind w:left="120"/>
        <w:jc w:val="center"/>
      </w:pPr>
      <w:r>
        <w:rPr>
          <w:rFonts w:ascii="Times New Roman" w:hAnsi="Times New Roman"/>
          <w:b w:val="false"/>
          <w:i w:val="false"/>
          <w:color w:val="000000"/>
          <w:sz w:val="21"/>
        </w:rPr>
        <w:t>[Filed ARC 3832C</w:t>
      </w:r>
      <w:r>
        <w:rPr>
          <w:rFonts w:ascii="Times New Roman" w:hAnsi="Times New Roman"/>
          <w:b w:val="false"/>
          <w:i w:val="false"/>
          <w:color w:val="000000"/>
          <w:sz w:val="21"/>
        </w:rPr>
        <w:t xml:space="preserve"> (Notice ARC 3729C, IAB 4/11/18)</w:t>
      </w:r>
      <w:r>
        <w:rPr>
          <w:rFonts w:ascii="Times New Roman" w:hAnsi="Times New Roman"/>
          <w:b w:val="false"/>
          <w:i w:val="false"/>
          <w:color w:val="000000"/>
          <w:sz w:val="21"/>
        </w:rPr>
        <w:t>, IAB 6/6/18, effective 7/11/18]</w:t>
      </w:r>
    </w:p>
    <w:p>
      <w:pPr>
        <w:spacing w:before="0" w:after="0"/>
        <w:ind w:left="120"/>
        <w:jc w:val="center"/>
      </w:pPr>
      <w:r>
        <w:rPr>
          <w:rFonts w:ascii="Times New Roman" w:hAnsi="Times New Roman"/>
          <w:b w:val="false"/>
          <w:i w:val="false"/>
          <w:color w:val="000000"/>
          <w:sz w:val="21"/>
        </w:rPr>
        <w:t>[Filed ARC 5065C</w:t>
      </w:r>
      <w:r>
        <w:rPr>
          <w:rFonts w:ascii="Times New Roman" w:hAnsi="Times New Roman"/>
          <w:b w:val="false"/>
          <w:i w:val="false"/>
          <w:color w:val="000000"/>
          <w:sz w:val="21"/>
        </w:rPr>
        <w:t xml:space="preserve"> (Notice ARC 5034C, IAB 5/6/20)</w:t>
      </w:r>
      <w:r>
        <w:rPr>
          <w:rFonts w:ascii="Times New Roman" w:hAnsi="Times New Roman"/>
          <w:b w:val="false"/>
          <w:i w:val="false"/>
          <w:color w:val="000000"/>
          <w:sz w:val="21"/>
        </w:rPr>
        <w:t>, IAB 7/1/20, effective 8/5/20]</w:t>
      </w:r>
    </w:p>
    <w:p>
      <w:pPr>
        <w:spacing w:before="0" w:after="0"/>
        <w:ind w:left="120"/>
        <w:jc w:val="center"/>
      </w:pPr>
      <w:r>
        <w:rPr>
          <w:rFonts w:ascii="Times New Roman" w:hAnsi="Times New Roman"/>
          <w:b w:val="false"/>
          <w:i w:val="false"/>
          <w:color w:val="000000"/>
          <w:sz w:val="21"/>
        </w:rPr>
        <w:t>[Filed ARC 6787C</w:t>
      </w:r>
      <w:r>
        <w:rPr>
          <w:rFonts w:ascii="Times New Roman" w:hAnsi="Times New Roman"/>
          <w:b w:val="false"/>
          <w:i w:val="false"/>
          <w:color w:val="000000"/>
          <w:sz w:val="21"/>
        </w:rPr>
        <w:t xml:space="preserve"> (Notice ARC 6578C, IAB 10/5/22)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[Filed ARC 9240C</w:t>
      </w:r>
      <w:r>
        <w:rPr>
          <w:rFonts w:ascii="Times New Roman" w:hAnsi="Times New Roman"/>
          <w:b w:val="false"/>
          <w:i w:val="false"/>
          <w:color w:val="000000"/>
          <w:sz w:val="21"/>
        </w:rPr>
        <w:t xml:space="preserve"> (Notice ARC 8590C, IAB 1/8/25)</w:t>
      </w:r>
      <w:r>
        <w:rPr>
          <w:rFonts w:ascii="Times New Roman" w:hAnsi="Times New Roman"/>
          <w:b w:val="false"/>
          <w:i w:val="false"/>
          <w:color w:val="000000"/>
          <w:sz w:val="21"/>
        </w:rPr>
        <w:t>, IAB 5/14/25, effective 6/18/25]</w:t>
      </w:r>
    </w:p>
    <w:p>
      <w:pPr>
        <w:spacing w:before="0" w:after="0"/>
        <w:ind w:left="120"/>
        <w:jc w:val="center"/>
      </w:pPr>
      <w:r>
        <w:rPr>
          <w:rFonts w:ascii="Times New Roman" w:hAnsi="Times New Roman"/>
          <w:b w:val="false"/>
          <w:i w:val="false"/>
          <w:color w:val="000000"/>
          <w:sz w:val="21"/>
        </w:rPr>
        <w:t>[Filed ARC 0281D</w:t>
      </w:r>
      <w:r>
        <w:rPr>
          <w:rFonts w:ascii="Times New Roman" w:hAnsi="Times New Roman"/>
          <w:b w:val="false"/>
          <w:i w:val="false"/>
          <w:color w:val="000000"/>
          <w:sz w:val="21"/>
        </w:rPr>
        <w:t xml:space="preserve"> (Notice ARC 9888C, IAB 1/7/26)</w:t>
      </w:r>
      <w:r>
        <w:rPr>
          <w:rFonts w:ascii="Times New Roman" w:hAnsi="Times New Roman"/>
          <w:b w:val="false"/>
          <w:i w:val="false"/>
          <w:color w:val="000000"/>
          <w:sz w:val="21"/>
        </w:rPr>
        <w:t>, IAB 5/13/26, effective 6/17/26]</w:t>
      </w:r>
    </w:p>
    <w:sectPr>
      <w:footerReference r:id="rId2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71.98.9.pdf" Type="http://schemas.openxmlformats.org/officeDocument/2006/relationships/hyperlink" Id="rId5"/>
    <Relationship TargetMode="External" Target="https://www.legis.iowa.gov/docs/iac/rule/571.98.2.pdf" Type="http://schemas.openxmlformats.org/officeDocument/2006/relationships/hyperlink" Id="rId6"/>
    <Relationship TargetMode="External" Target="https://www.legis.iowa.gov/docs/iac/rule/571.15.22.pdf" Type="http://schemas.openxmlformats.org/officeDocument/2006/relationships/hyperlink" Id="rId7"/>
    <Relationship TargetMode="External" Target="https://www.legis.iowa.gov/docs/iac/chapter/571.106.pdf" Type="http://schemas.openxmlformats.org/officeDocument/2006/relationships/hyperlink" Id="rId8"/>
    <Relationship TargetMode="External" Target="https://www.legis.iowa.gov/docs/iac/rule/571.95.2.pdf" Type="http://schemas.openxmlformats.org/officeDocument/2006/relationships/hyperlink" Id="rId9"/>
    <Relationship TargetMode="External" Target="https://www.legis.iowa.gov/docs/iac/rule/571.98.2.pdf" Type="http://schemas.openxmlformats.org/officeDocument/2006/relationships/hyperlink" Id="rId10"/>
    <Relationship TargetMode="External" Target="https://www.legis.iowa.gov/docs/iac/rule/571.95.1.pdf" Type="http://schemas.openxmlformats.org/officeDocument/2006/relationships/hyperlink" Id="rId11"/>
    <Relationship TargetMode="External" Target="https://www.legis.iowa.gov/docs/iac/rule/571.98.12.pdf" Type="http://schemas.openxmlformats.org/officeDocument/2006/relationships/hyperlink" Id="rId12"/>
    <Relationship TargetMode="External" Target="https://www.legis.iowa.gov/docs/iac/rule/571.98.12.pdf" Type="http://schemas.openxmlformats.org/officeDocument/2006/relationships/hyperlink" Id="rId13"/>
    <Relationship TargetMode="External" Target="https://www.legis.iowa.gov/docs/iac/rule/571.98.2.pdf" Type="http://schemas.openxmlformats.org/officeDocument/2006/relationships/hyperlink" Id="rId14"/>
    <Relationship TargetMode="External" Target="https://www.legis.iowa.gov/docs/ico/chapter/483A.24.pdf" Type="http://schemas.openxmlformats.org/officeDocument/2006/relationships/hyperlink" Id="rId15"/>
    <Relationship TargetMode="External" Target="https://www.legis.iowa.gov/docs/iac/chapter/571.15.pdf" Type="http://schemas.openxmlformats.org/officeDocument/2006/relationships/hyperlink" Id="rId16"/>
    <Relationship TargetMode="External" Target="https://www.legis.iowa.gov/docs/iac/rule/571.15.22.pdf" Type="http://schemas.openxmlformats.org/officeDocument/2006/relationships/hyperlink" Id="rId17"/>
    <Relationship TargetMode="External" Target="https://www.legis.iowa.gov/docs/iac/rule/571.95.1.pdf" Type="http://schemas.openxmlformats.org/officeDocument/2006/relationships/hyperlink" Id="rId18"/>
    <Relationship TargetMode="External" Target="https://www.legis.iowa.gov/docs/ico/chapter/481A.38.pdf" Type="http://schemas.openxmlformats.org/officeDocument/2006/relationships/hyperlink" Id="rId19"/>
    <Relationship TargetMode="External" Target="https://www.legis.iowa.gov/docs/ico/chapter/481A.39.pdf" Type="http://schemas.openxmlformats.org/officeDocument/2006/relationships/hyperlink" Id="rId20"/>
    <Relationship TargetMode="External" Target="https://www.legis.iowa.gov/docs/ico/chapter/481A.48.pdf" Type="http://schemas.openxmlformats.org/officeDocument/2006/relationships/hyperlink" Id="rId21"/>
    <Relationship TargetMode="External" Target="https://www.legis.iowa.gov/docs/ico/chapter/483A.1.pdf" Type="http://schemas.openxmlformats.org/officeDocument/2006/relationships/hyperlink" Id="rId22"/>
    <Relationship TargetMode="External" Target="https://www.legis.iowa.gov/docs/ico/chapter/483A.7.pdf" Type="http://schemas.openxmlformats.org/officeDocument/2006/relationships/hyperlink" Id="rId23"/>
    <Relationship TargetMode="External" Target="https://www.legis.iowa.gov/docs/ico/chapter/483A.24.pdf" Type="http://schemas.openxmlformats.org/officeDocument/2006/relationships/hyperlink" Id="rId24"/>
    <Relationship Target="footer.xml" Type="http://schemas.openxmlformats.org/officeDocument/2006/relationships/footer" Id="rId2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