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SMALL GAME HUNTING</w:t>
      </w:r>
    </w:p>
    <w:p>
      <w:pPr>
        <w:spacing w:before="0" w:after="0"/>
        <w:ind w:left="120"/>
        <w:jc w:val="center"/>
      </w:pPr>
      <w:r>
        <w:rPr>
          <w:rFonts w:ascii="Times New Roman" w:hAnsi="Times New Roman"/>
          <w:b w:val="false"/>
          <w:i w:val="false"/>
          <w:color w:val="000000"/>
          <w:sz w:val="20"/>
        </w:rPr>
        <w:t>[Prior to 12/31/86, Conservation Commission[290] Ch 103]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571—96.1</w:t>
      </w:r>
      <w:r>
        <w:rPr>
          <w:rFonts w:ascii="Times New Roman" w:hAnsi="Times New Roman"/>
          <w:b/>
          <w:i w:val="false"/>
          <w:color w:val="000000"/>
          <w:sz w:val="22"/>
        </w:rPr>
        <w:t xml:space="preserve">(481A) </w:t>
      </w:r>
      <w:r>
        <w:rPr>
          <w:rFonts w:ascii="Times New Roman" w:hAnsi="Times New Roman"/>
          <w:b/>
          <w:i w:val="false"/>
          <w:color w:val="000000"/>
          <w:sz w:val="22"/>
        </w:rPr>
        <w:t xml:space="preserve">Pheasant season.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Open season. </w:t>
      </w:r>
      <w:r>
        <w:rPr>
          <w:rFonts w:ascii="Times New Roman" w:hAnsi="Times New Roman"/>
          <w:b w:val="false"/>
          <w:i w:val="false"/>
          <w:color w:val="000000"/>
          <w:sz w:val="22"/>
        </w:rPr>
        <w:t>Open season for hunting cock pheasants is the last Saturday in October through January 10 of the succeeding year. Daily bag limit 3 cocks; possession limit 12. Shooting hours are 8 a.m. to 4:30 p.m. Entire state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No person shall transport a pheasant within the state without a leg and foot, or fully feathered wing, or fully feathered head attached to the intact carcass.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Youth pheasant hunt. </w:t>
      </w:r>
      <w:r>
        <w:rPr>
          <w:rFonts w:ascii="Times New Roman" w:hAnsi="Times New Roman"/>
          <w:b w:val="false"/>
          <w:i w:val="false"/>
          <w:color w:val="000000"/>
          <w:sz w:val="22"/>
        </w:rPr>
        <w:t>A special two-day youth pheasant hunt for residents only will be held on the weekend preceding the last Saturday in October. Youth hunters must be 15 years old or younger. Each youth hunter must be accompanied by an adult 18 years old or older. The youth hunter does not need to have a hunting license or stamps. The adult must have a valid hunting license and habitat stamp if normally required to have them to hunt. Only the youth hunter may shoot pheasants. The daily bag limit is 1 cock bird and possession limit is 2 after the first day. All other hunting regulations in effect for the regular pheasant season apply to the youth hunt.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571—96.2</w:t>
      </w:r>
      <w:r>
        <w:rPr>
          <w:rFonts w:ascii="Times New Roman" w:hAnsi="Times New Roman"/>
          <w:b/>
          <w:i w:val="false"/>
          <w:color w:val="000000"/>
          <w:sz w:val="22"/>
        </w:rPr>
        <w:t xml:space="preserve">(481A) </w:t>
      </w:r>
      <w:r>
        <w:rPr>
          <w:rFonts w:ascii="Times New Roman" w:hAnsi="Times New Roman"/>
          <w:b/>
          <w:i w:val="false"/>
          <w:color w:val="000000"/>
          <w:sz w:val="22"/>
        </w:rPr>
        <w:t xml:space="preserve">Gray (Hungarian) partridge season. </w:t>
      </w:r>
      <w:r>
        <w:rPr>
          <w:rFonts w:ascii="Times New Roman" w:hAnsi="Times New Roman"/>
          <w:b w:val="false"/>
          <w:i w:val="false"/>
          <w:color w:val="000000"/>
          <w:sz w:val="22"/>
        </w:rPr>
        <w:t>Open season for hunting gray partridge is the second Saturday in October through January 31 of the succeeding year. Daily bag limit 8; possession limit 16. Shooting hours are 8 a.m. to 4:30 p.m.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571—96.3</w:t>
      </w:r>
      <w:r>
        <w:rPr>
          <w:rFonts w:ascii="Times New Roman" w:hAnsi="Times New Roman"/>
          <w:b/>
          <w:i w:val="false"/>
          <w:color w:val="000000"/>
          <w:sz w:val="22"/>
        </w:rPr>
        <w:t xml:space="preserve">(481A) </w:t>
      </w:r>
      <w:r>
        <w:rPr>
          <w:rFonts w:ascii="Times New Roman" w:hAnsi="Times New Roman"/>
          <w:b/>
          <w:i w:val="false"/>
          <w:color w:val="000000"/>
          <w:sz w:val="22"/>
        </w:rPr>
        <w:t xml:space="preserve">Bobwhite quail season. </w:t>
      </w:r>
      <w:r>
        <w:rPr>
          <w:rFonts w:ascii="Times New Roman" w:hAnsi="Times New Roman"/>
          <w:b w:val="false"/>
          <w:i w:val="false"/>
          <w:color w:val="000000"/>
          <w:sz w:val="22"/>
        </w:rPr>
        <w:t>Open season for hunting quail is the last Saturday in October through January 31 of the succeeding year. Daily bag limit 8; possession limit 16. Shooting hours are 8 a.m. to 4:30 p.m.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571—96.4</w:t>
      </w:r>
      <w:r>
        <w:rPr>
          <w:rFonts w:ascii="Times New Roman" w:hAnsi="Times New Roman"/>
          <w:b/>
          <w:i w:val="false"/>
          <w:color w:val="000000"/>
          <w:sz w:val="22"/>
        </w:rPr>
        <w:t xml:space="preserve">(481A) </w:t>
      </w:r>
      <w:r>
        <w:rPr>
          <w:rFonts w:ascii="Times New Roman" w:hAnsi="Times New Roman"/>
          <w:b/>
          <w:i w:val="false"/>
          <w:color w:val="000000"/>
          <w:sz w:val="22"/>
        </w:rPr>
        <w:t xml:space="preserve">Ruffed grouse season. </w:t>
      </w:r>
      <w:r>
        <w:rPr>
          <w:rFonts w:ascii="Times New Roman" w:hAnsi="Times New Roman"/>
          <w:b w:val="false"/>
          <w:i w:val="false"/>
          <w:color w:val="000000"/>
          <w:sz w:val="22"/>
        </w:rPr>
        <w:t>Open season for hunting ruffed grouse is the first Saturday in October through January 31 of the succeeding year. Daily bag limit 3; possession limit 6. Shooting hours are sunrise to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Portion of the state open to hunting. </w:t>
      </w:r>
      <w:r>
        <w:rPr>
          <w:rFonts w:ascii="Times New Roman" w:hAnsi="Times New Roman"/>
          <w:b w:val="false"/>
          <w:i w:val="false"/>
          <w:color w:val="000000"/>
          <w:sz w:val="22"/>
        </w:rPr>
        <w:t>The area open to hunting shall be that portion of the state lying north and east of a line described as follows: beginning at Sabula, Iowa; thence west along State Highway 64 to U.S. Highway 151; thence west along U.S. Highway 151 to State Highway 13; thence north along State Highway 13 to U.S. Highway 20; thence west along U.S. Highway 20 to U.S. Highway 63; thence north along U.S. Highway 63 to the state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571—96.5</w:t>
      </w:r>
      <w:r>
        <w:rPr>
          <w:rFonts w:ascii="Times New Roman" w:hAnsi="Times New Roman"/>
          <w:b/>
          <w:i w:val="false"/>
          <w:color w:val="000000"/>
          <w:sz w:val="22"/>
        </w:rPr>
        <w:t xml:space="preserve">(481A) </w:t>
      </w:r>
      <w:r>
        <w:rPr>
          <w:rFonts w:ascii="Times New Roman" w:hAnsi="Times New Roman"/>
          <w:b/>
          <w:i w:val="false"/>
          <w:color w:val="000000"/>
          <w:sz w:val="22"/>
        </w:rPr>
        <w:t xml:space="preserve">Pigeon season. </w:t>
      </w:r>
      <w:r>
        <w:rPr>
          <w:rFonts w:ascii="Times New Roman" w:hAnsi="Times New Roman"/>
          <w:b w:val="false"/>
          <w:i w:val="false"/>
          <w:color w:val="000000"/>
          <w:sz w:val="22"/>
        </w:rPr>
        <w:t>There is a continuous open season for hunting pigeons. No bag or possession limit. There are no restrictions on shooting hours.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571—96.6</w:t>
      </w:r>
      <w:r>
        <w:rPr>
          <w:rFonts w:ascii="Times New Roman" w:hAnsi="Times New Roman"/>
          <w:b/>
          <w:i w:val="false"/>
          <w:color w:val="000000"/>
          <w:sz w:val="22"/>
        </w:rPr>
        <w:t xml:space="preserve">(481A) </w:t>
      </w:r>
      <w:r>
        <w:rPr>
          <w:rFonts w:ascii="Times New Roman" w:hAnsi="Times New Roman"/>
          <w:b/>
          <w:i w:val="false"/>
          <w:color w:val="000000"/>
          <w:sz w:val="22"/>
        </w:rPr>
        <w:t xml:space="preserve">Cottontail rabbit season. </w:t>
      </w:r>
      <w:r>
        <w:rPr>
          <w:rFonts w:ascii="Times New Roman" w:hAnsi="Times New Roman"/>
          <w:b w:val="false"/>
          <w:i w:val="false"/>
          <w:color w:val="000000"/>
          <w:sz w:val="22"/>
        </w:rPr>
        <w:t>Open season for hunting cottontail rabbits is the Saturday before Labor Day through February 28 of the succeeding year. Daily bag limit 10; possession limit 20. Shooting hours are sunrise to sunset.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571—96.7</w:t>
      </w:r>
      <w:r>
        <w:rPr>
          <w:rFonts w:ascii="Times New Roman" w:hAnsi="Times New Roman"/>
          <w:b/>
          <w:i w:val="false"/>
          <w:color w:val="000000"/>
          <w:sz w:val="22"/>
        </w:rPr>
        <w:t xml:space="preserve">(481A) </w:t>
      </w:r>
      <w:r>
        <w:rPr>
          <w:rFonts w:ascii="Times New Roman" w:hAnsi="Times New Roman"/>
          <w:b/>
          <w:i w:val="false"/>
          <w:color w:val="000000"/>
          <w:sz w:val="22"/>
        </w:rPr>
        <w:t xml:space="preserve">Jackrabbit season. </w:t>
      </w:r>
      <w:r>
        <w:rPr>
          <w:rFonts w:ascii="Times New Roman" w:hAnsi="Times New Roman"/>
          <w:b w:val="false"/>
          <w:i w:val="false"/>
          <w:color w:val="000000"/>
          <w:sz w:val="22"/>
        </w:rPr>
        <w:t>Continuous closed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571—96.8</w:t>
      </w:r>
      <w:r>
        <w:rPr>
          <w:rFonts w:ascii="Times New Roman" w:hAnsi="Times New Roman"/>
          <w:b/>
          <w:i w:val="false"/>
          <w:color w:val="000000"/>
          <w:sz w:val="22"/>
        </w:rPr>
        <w:t xml:space="preserve">(481A) </w:t>
      </w:r>
      <w:r>
        <w:rPr>
          <w:rFonts w:ascii="Times New Roman" w:hAnsi="Times New Roman"/>
          <w:b/>
          <w:i w:val="false"/>
          <w:color w:val="000000"/>
          <w:sz w:val="22"/>
        </w:rPr>
        <w:t xml:space="preserve">Squirrel season. </w:t>
      </w:r>
      <w:r>
        <w:rPr>
          <w:rFonts w:ascii="Times New Roman" w:hAnsi="Times New Roman"/>
          <w:b w:val="false"/>
          <w:i w:val="false"/>
          <w:color w:val="000000"/>
          <w:sz w:val="22"/>
        </w:rPr>
        <w:t>Open season for hunting squirrels (fox and gray) is the Saturday before Labor Day through January 31 of the succeeding year. Daily bag limit 6; possession limit 12. There are no restrictions on shooting hours.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571—96.9</w:t>
      </w:r>
      <w:r>
        <w:rPr>
          <w:rFonts w:ascii="Times New Roman" w:hAnsi="Times New Roman"/>
          <w:b/>
          <w:i w:val="false"/>
          <w:color w:val="000000"/>
          <w:sz w:val="22"/>
        </w:rPr>
        <w:t xml:space="preserve">(481A) </w:t>
      </w:r>
      <w:r>
        <w:rPr>
          <w:rFonts w:ascii="Times New Roman" w:hAnsi="Times New Roman"/>
          <w:b/>
          <w:i w:val="false"/>
          <w:color w:val="000000"/>
          <w:sz w:val="22"/>
        </w:rPr>
        <w:t xml:space="preserve">Small game hunting by falconry.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96.9(1)</w:t>
      </w:r>
      <w:r>
        <w:rPr>
          <w:rFonts w:ascii="Times New Roman" w:hAnsi="Times New Roman"/>
          <w:b w:val="false"/>
          <w:i w:val="false"/>
          <w:color w:val="000000"/>
          <w:sz w:val="22"/>
        </w:rPr>
        <w:t> </w:t>
      </w:r>
      <w:r>
        <w:rPr>
          <w:rFonts w:ascii="Times New Roman" w:hAnsi="Times New Roman"/>
          <w:b w:val="false"/>
          <w:i w:val="false"/>
          <w:color w:val="000000"/>
          <w:sz w:val="22"/>
        </w:rPr>
        <w:t>In addition to the falconry permit, a falconer must have all other licenses, stamps, and permits required by law. A falconry observer is not required to be licensed for hunting, but an observer shall not assist in the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96.9(2)</w:t>
      </w:r>
      <w:r>
        <w:rPr>
          <w:rFonts w:ascii="Times New Roman" w:hAnsi="Times New Roman"/>
          <w:b w:val="false"/>
          <w:i w:val="false"/>
          <w:color w:val="000000"/>
          <w:sz w:val="22"/>
        </w:rPr>
        <w:t> </w:t>
      </w:r>
      <w:r>
        <w:rPr>
          <w:rFonts w:ascii="Times New Roman" w:hAnsi="Times New Roman"/>
          <w:b w:val="false"/>
          <w:i w:val="false"/>
          <w:color w:val="000000"/>
          <w:sz w:val="22"/>
        </w:rPr>
        <w:t>No falconer or observer may possess a long gun, bow, or crossbow while in the field with a raptor or in the act of falconry.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96.9(3)</w:t>
      </w:r>
      <w:r>
        <w:rPr>
          <w:rFonts w:ascii="Times New Roman" w:hAnsi="Times New Roman"/>
          <w:b w:val="false"/>
          <w:i w:val="false"/>
          <w:color w:val="000000"/>
          <w:sz w:val="22"/>
        </w:rPr>
        <w:t> </w:t>
      </w:r>
      <w:r>
        <w:rPr>
          <w:rFonts w:ascii="Times New Roman" w:hAnsi="Times New Roman"/>
          <w:b w:val="false"/>
          <w:i w:val="false"/>
          <w:color w:val="000000"/>
          <w:sz w:val="22"/>
        </w:rPr>
        <w:t>Seasons.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Pheasant (both sexes), quail, gray partridge, ruffed grouse, and jackrabbit. </w:t>
      </w:r>
      <w:r>
        <w:rPr>
          <w:rFonts w:ascii="Times New Roman" w:hAnsi="Times New Roman"/>
          <w:b w:val="false"/>
          <w:i w:val="false"/>
          <w:color w:val="000000"/>
          <w:sz w:val="22"/>
        </w:rPr>
        <w:t>The season for the taking of pheasant, quail, gray partridge, ruffed grouse, and jackrabbit is October 1 of each year through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Cottontail rabbit and squirrel. </w:t>
      </w:r>
      <w:r>
        <w:rPr>
          <w:rFonts w:ascii="Times New Roman" w:hAnsi="Times New Roman"/>
          <w:b w:val="false"/>
          <w:i w:val="false"/>
          <w:color w:val="000000"/>
          <w:sz w:val="22"/>
        </w:rPr>
        <w:t>The season for the taking of cottontail rabbits and squirrels is September 1 of each year through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96.9(4)</w:t>
      </w:r>
      <w:r>
        <w:rPr>
          <w:rFonts w:ascii="Times New Roman" w:hAnsi="Times New Roman"/>
          <w:b w:val="false"/>
          <w:i w:val="false"/>
          <w:color w:val="000000"/>
          <w:sz w:val="22"/>
        </w:rPr>
        <w:t> </w:t>
      </w:r>
      <w:r>
        <w:rPr>
          <w:rFonts w:ascii="Times New Roman" w:hAnsi="Times New Roman"/>
          <w:b w:val="false"/>
          <w:i w:val="false"/>
          <w:color w:val="000000"/>
          <w:sz w:val="22"/>
        </w:rPr>
        <w:t>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Pheasants (both sexes) and jackrabbit. </w:t>
      </w:r>
      <w:r>
        <w:rPr>
          <w:rFonts w:ascii="Times New Roman" w:hAnsi="Times New Roman"/>
          <w:b w:val="false"/>
          <w:i w:val="false"/>
          <w:color w:val="000000"/>
          <w:sz w:val="22"/>
        </w:rPr>
        <w:t>The daily limit is two pheasants, no more than one of which may be a hen, and one jackrabbit; the possession limit is four pheasants and two jackrabbits.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Quail, gray partridge, ruffed grouse, squirrels and cottontail rabbit. </w:t>
      </w:r>
      <w:r>
        <w:rPr>
          <w:rFonts w:ascii="Times New Roman" w:hAnsi="Times New Roman"/>
          <w:b w:val="false"/>
          <w:i w:val="false"/>
          <w:color w:val="000000"/>
          <w:sz w:val="22"/>
        </w:rPr>
        <w:t>The daily limit is two quail, two gray partridge, two ruffed grouse, four cottontail rabbits and four squirrels; the possession limit is four quail, four gray partridge, four ruffed grouse, eight cottontail rabbits, and eight squirrels.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571—96.10</w:t>
      </w:r>
      <w:r>
        <w:rPr>
          <w:rFonts w:ascii="Times New Roman" w:hAnsi="Times New Roman"/>
          <w:b/>
          <w:i w:val="false"/>
          <w:color w:val="000000"/>
          <w:sz w:val="22"/>
        </w:rPr>
        <w:t xml:space="preserve">(481A) </w:t>
      </w:r>
      <w:r>
        <w:rPr>
          <w:rFonts w:ascii="Times New Roman" w:hAnsi="Times New Roman"/>
          <w:b/>
          <w:i w:val="false"/>
          <w:color w:val="000000"/>
          <w:sz w:val="22"/>
        </w:rPr>
        <w:t xml:space="preserve">Small game hunting by 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96.10(1)</w:t>
      </w:r>
      <w:r>
        <w:rPr>
          <w:rFonts w:ascii="Times New Roman" w:hAnsi="Times New Roman"/>
          <w:b w:val="false"/>
          <w:i w:val="false"/>
          <w:color w:val="000000"/>
          <w:sz w:val="22"/>
        </w:rPr>
        <w:t> </w:t>
      </w:r>
      <w:r>
        <w:rPr>
          <w:rFonts w:ascii="Times New Roman" w:hAnsi="Times New Roman"/>
          <w:b w:val="false"/>
          <w:i w:val="false"/>
          <w:color w:val="000000"/>
          <w:sz w:val="22"/>
        </w:rPr>
        <w:t>Small game species for nonresident hunting include pheasant, quail, partridge, grouse, dove, rabbit, and squirrel.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96.10(2)</w:t>
      </w:r>
      <w:r>
        <w:rPr>
          <w:rFonts w:ascii="Times New Roman" w:hAnsi="Times New Roman"/>
          <w:b w:val="false"/>
          <w:i w:val="false"/>
          <w:color w:val="000000"/>
          <w:sz w:val="22"/>
        </w:rPr>
        <w:t> </w:t>
      </w:r>
      <w:r>
        <w:rPr>
          <w:rFonts w:ascii="Times New Roman" w:hAnsi="Times New Roman"/>
          <w:b w:val="false"/>
          <w:i w:val="false"/>
          <w:color w:val="000000"/>
          <w:sz w:val="22"/>
        </w:rPr>
        <w:t>Nonresident small game hunters purchasing a nonresident annual hunting license shall be limited to two 7-day periods totaling not more than 14 days per annual license purchased. Multiple nonresident annual hunting licenses may be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 seven-day periods must be designated at the time the annual license is purchased and may be consecutive. The seven-day periods must fall within the season dates defined in rules </w:t>
      </w:r>
      <w:hyperlink r:id="rId5">
        <w:r>
          <w:rPr>
            <w:rStyle w:val="Hyperlink"/>
            <w:rFonts w:ascii="Times New Roman" w:hAnsi="Times New Roman"/>
            <w:b w:val="false"/>
            <w:i w:val="false"/>
            <w:color w:val="000000"/>
            <w:sz w:val="22"/>
          </w:rPr>
          <w:t>571—96.1</w:t>
        </w:r>
      </w:hyperlink>
      <w:r>
        <w:rPr>
          <w:rFonts w:ascii="Times New Roman" w:hAnsi="Times New Roman"/>
          <w:b w:val="false"/>
          <w:i w:val="false"/>
          <w:color w:val="000000"/>
          <w:sz w:val="22"/>
        </w:rPr>
        <w:t xml:space="preserve">(481A) through </w:t>
      </w:r>
      <w:hyperlink r:id="rId6">
        <w:r>
          <w:rPr>
            <w:rStyle w:val="Hyperlink"/>
            <w:rFonts w:ascii="Times New Roman" w:hAnsi="Times New Roman"/>
            <w:b w:val="false"/>
            <w:i w:val="false"/>
            <w:color w:val="000000"/>
            <w:sz w:val="22"/>
          </w:rPr>
          <w:t>571—96.4</w:t>
        </w:r>
      </w:hyperlink>
      <w:r>
        <w:rPr>
          <w:rFonts w:ascii="Times New Roman" w:hAnsi="Times New Roman"/>
          <w:b w:val="false"/>
          <w:i w:val="false"/>
          <w:color w:val="000000"/>
          <w:sz w:val="22"/>
        </w:rPr>
        <w:t>(481A) and this rule,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game hunting by nonresidents is not allowed on public land during the first seven days of the pheasant season as defined in subrule </w:t>
      </w:r>
      <w:hyperlink r:id="rId7">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Rabbit, squirrel, and grouse hunting by nonresidents is not allowed on public land from the third Saturday in October through the third Saturday in November.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96.10(4)</w:t>
      </w:r>
      <w:r>
        <w:rPr>
          <w:rFonts w:ascii="Times New Roman" w:hAnsi="Times New Roman"/>
          <w:b w:val="false"/>
          <w:i w:val="false"/>
          <w:color w:val="000000"/>
          <w:sz w:val="22"/>
        </w:rPr>
        <w:t> </w:t>
      </w:r>
      <w:r>
        <w:rPr>
          <w:rFonts w:ascii="Times New Roman" w:hAnsi="Times New Roman"/>
          <w:b w:val="false"/>
          <w:i w:val="false"/>
          <w:color w:val="000000"/>
          <w:sz w:val="22"/>
        </w:rPr>
        <w:t>A designated period may be changed prior to the beginning date of the period by contacting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96.10(5)</w:t>
      </w:r>
      <w:r>
        <w:rPr>
          <w:rFonts w:ascii="Times New Roman" w:hAnsi="Times New Roman"/>
          <w:b w:val="false"/>
          <w:i w:val="false"/>
          <w:color w:val="000000"/>
          <w:sz w:val="22"/>
        </w:rPr>
        <w:t> </w:t>
      </w:r>
      <w:r>
        <w:rPr>
          <w:rFonts w:ascii="Times New Roman" w:hAnsi="Times New Roman"/>
          <w:b w:val="false"/>
          <w:i w:val="false"/>
          <w:color w:val="000000"/>
          <w:sz w:val="22"/>
        </w:rPr>
        <w:t>The nonresident five-day hunting license may be purchased independently or in conjunction with a nonresident annual hunting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0696D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9/2/76—published 9/22/76, effective 9/2/76]</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8/30/78, Notice 3/8/78—published 9/20/78, effective 10/25/78]</w:t>
      </w:r>
    </w:p>
    <w:p>
      <w:pPr>
        <w:spacing w:before="0" w:after="0"/>
        <w:ind w:left="120"/>
        <w:jc w:val="center"/>
      </w:pPr>
      <w:r>
        <w:rPr>
          <w:rFonts w:ascii="Times New Roman" w:hAnsi="Times New Roman"/>
          <w:b w:val="false"/>
          <w:i w:val="false"/>
          <w:color w:val="000000"/>
          <w:sz w:val="21"/>
        </w:rPr>
        <w:t>[Filed 8/29/79, Notice 3/7/79—published 9/19/79, effective 10/24/79]</w:t>
      </w:r>
    </w:p>
    <w:p>
      <w:pPr>
        <w:spacing w:before="0" w:after="0"/>
        <w:ind w:left="120"/>
        <w:jc w:val="center"/>
      </w:pPr>
      <w:r>
        <w:rPr>
          <w:rFonts w:ascii="Times New Roman" w:hAnsi="Times New Roman"/>
          <w:b w:val="false"/>
          <w:i w:val="false"/>
          <w:color w:val="000000"/>
          <w:sz w:val="21"/>
        </w:rPr>
        <w:t>[Filed 8/29/80, Notice 3/5/80—published 9/17/80, effective 10/22/80]</w:t>
      </w:r>
    </w:p>
    <w:p>
      <w:pPr>
        <w:spacing w:before="0" w:after="0"/>
        <w:ind w:left="120"/>
        <w:jc w:val="center"/>
      </w:pPr>
      <w:r>
        <w:rPr>
          <w:rFonts w:ascii="Times New Roman" w:hAnsi="Times New Roman"/>
          <w:b w:val="false"/>
          <w:i w:val="false"/>
          <w:color w:val="000000"/>
          <w:sz w:val="21"/>
        </w:rPr>
        <w:t>[Filed 9/4/81, Notice 3/4/81—published 9/30/81, effective 11/4/81]</w:t>
      </w:r>
    </w:p>
    <w:p>
      <w:pPr>
        <w:spacing w:before="0" w:after="0"/>
        <w:ind w:left="120"/>
        <w:jc w:val="center"/>
      </w:pPr>
      <w:r>
        <w:rPr>
          <w:rFonts w:ascii="Times New Roman" w:hAnsi="Times New Roman"/>
          <w:b w:val="false"/>
          <w:i w:val="false"/>
          <w:color w:val="000000"/>
          <w:sz w:val="21"/>
        </w:rPr>
        <w:t>[Filed 9/2/82, Notice 3/3/82—published 9/29/82, effective 11/3/82]</w:t>
      </w:r>
    </w:p>
    <w:p>
      <w:pPr>
        <w:spacing w:before="0" w:after="0"/>
        <w:ind w:left="120"/>
        <w:jc w:val="center"/>
      </w:pPr>
      <w:r>
        <w:rPr>
          <w:rFonts w:ascii="Times New Roman" w:hAnsi="Times New Roman"/>
          <w:b w:val="false"/>
          <w:i w:val="false"/>
          <w:color w:val="000000"/>
          <w:sz w:val="21"/>
        </w:rPr>
        <w:t>[Filed 9/1/83, Notice 3/30/83—published 9/28/83, effective 11/2/83]</w:t>
      </w:r>
    </w:p>
    <w:p>
      <w:pPr>
        <w:spacing w:before="0" w:after="0"/>
        <w:ind w:left="120"/>
        <w:jc w:val="center"/>
      </w:pPr>
      <w:r>
        <w:rPr>
          <w:rFonts w:ascii="Times New Roman" w:hAnsi="Times New Roman"/>
          <w:b w:val="false"/>
          <w:i w:val="false"/>
          <w:color w:val="000000"/>
          <w:sz w:val="21"/>
        </w:rPr>
        <w:t>[Filed 9/7/84, Notice 2/29/84—published 9/26/84, 10/24/84, effective 11/1/84]</w:t>
      </w:r>
    </w:p>
    <w:p>
      <w:pPr>
        <w:spacing w:before="0" w:after="0"/>
        <w:ind w:left="120"/>
        <w:jc w:val="center"/>
      </w:pPr>
      <w:r>
        <w:rPr>
          <w:rFonts w:ascii="Times New Roman" w:hAnsi="Times New Roman"/>
          <w:b w:val="false"/>
          <w:i w:val="false"/>
          <w:color w:val="000000"/>
          <w:sz w:val="21"/>
        </w:rPr>
        <w:t>[Filed 9/5/85, Notice 2/27/85—published 9/25/85, effective 11/1/85]</w:t>
      </w:r>
    </w:p>
    <w:p>
      <w:pPr>
        <w:spacing w:before="0" w:after="0"/>
        <w:ind w:left="120"/>
        <w:jc w:val="center"/>
      </w:pPr>
      <w:r>
        <w:rPr>
          <w:rFonts w:ascii="Times New Roman" w:hAnsi="Times New Roman"/>
          <w:b w:val="false"/>
          <w:i w:val="false"/>
          <w:color w:val="000000"/>
          <w:sz w:val="21"/>
        </w:rPr>
        <w:t>[Filed 9/3/86, Notice 2/26/86—published 9/24/86, effective 10/29/86]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9/4/87, Notice 3/11/87—published 9/23/87, effective 10/28/87]</w:t>
      </w:r>
    </w:p>
    <w:p>
      <w:pPr>
        <w:spacing w:before="0" w:after="0"/>
        <w:ind w:left="120"/>
        <w:jc w:val="center"/>
      </w:pPr>
      <w:r>
        <w:rPr>
          <w:rFonts w:ascii="Times New Roman" w:hAnsi="Times New Roman"/>
          <w:b w:val="false"/>
          <w:i w:val="false"/>
          <w:color w:val="000000"/>
          <w:sz w:val="21"/>
        </w:rPr>
        <w:t>[Filed 9/2/88, Notice 2/24/88—published 9/21/88, effective 10/26/88]</w:t>
      </w:r>
    </w:p>
    <w:p>
      <w:pPr>
        <w:spacing w:before="0" w:after="0"/>
        <w:ind w:left="120"/>
        <w:jc w:val="center"/>
      </w:pPr>
      <w:r>
        <w:rPr>
          <w:rFonts w:ascii="Times New Roman" w:hAnsi="Times New Roman"/>
          <w:b w:val="false"/>
          <w:i w:val="false"/>
          <w:color w:val="000000"/>
          <w:sz w:val="21"/>
        </w:rPr>
        <w:t>[Filed emergency 9/15/89 after Notice of 3/8/89—published 10/4/89, effective 9/15/89]</w:t>
      </w:r>
    </w:p>
    <w:p>
      <w:pPr>
        <w:spacing w:before="0" w:after="0"/>
        <w:ind w:left="120"/>
        <w:jc w:val="center"/>
      </w:pPr>
      <w:r>
        <w:rPr>
          <w:rFonts w:ascii="Times New Roman" w:hAnsi="Times New Roman"/>
          <w:b w:val="false"/>
          <w:i w:val="false"/>
          <w:color w:val="000000"/>
          <w:sz w:val="21"/>
        </w:rPr>
        <w:t>[Filed emergency 9/13/90 after Notice of 3/7/90—published 10/3/90, effective 9/13/90]</w:t>
      </w:r>
    </w:p>
    <w:p>
      <w:pPr>
        <w:spacing w:before="0" w:after="0"/>
        <w:ind w:left="120"/>
        <w:jc w:val="center"/>
      </w:pPr>
      <w:r>
        <w:rPr>
          <w:rFonts w:ascii="Times New Roman" w:hAnsi="Times New Roman"/>
          <w:b w:val="false"/>
          <w:i w:val="false"/>
          <w:color w:val="000000"/>
          <w:sz w:val="21"/>
        </w:rPr>
        <w:t>[Filed emergency 9/13/91 after Notice 3/6/91—published 10/2/91, effective 9/13/91]</w:t>
      </w:r>
    </w:p>
    <w:p>
      <w:pPr>
        <w:spacing w:before="0" w:after="0"/>
        <w:ind w:left="120"/>
        <w:jc w:val="center"/>
      </w:pPr>
      <w:r>
        <w:rPr>
          <w:rFonts w:ascii="Times New Roman" w:hAnsi="Times New Roman"/>
          <w:b w:val="false"/>
          <w:i w:val="false"/>
          <w:color w:val="000000"/>
          <w:sz w:val="21"/>
        </w:rPr>
        <w:t>[Filed emergency 9/10/92 after Notice 3/4/92—published 9/30/92, effective 9/10/92]</w:t>
      </w:r>
    </w:p>
    <w:p>
      <w:pPr>
        <w:spacing w:before="0" w:after="0"/>
        <w:ind w:left="120"/>
        <w:jc w:val="center"/>
      </w:pPr>
      <w:r>
        <w:rPr>
          <w:rFonts w:ascii="Times New Roman" w:hAnsi="Times New Roman"/>
          <w:b w:val="false"/>
          <w:i w:val="false"/>
          <w:color w:val="000000"/>
          <w:sz w:val="21"/>
        </w:rPr>
        <w:t>[Filed emergency 9/10/93 after Notice 3/31/93—published 9/29/93, effective 9/10/93]</w:t>
      </w:r>
    </w:p>
    <w:p>
      <w:pPr>
        <w:spacing w:before="0" w:after="0"/>
        <w:ind w:left="120"/>
        <w:jc w:val="center"/>
      </w:pPr>
      <w:r>
        <w:rPr>
          <w:rFonts w:ascii="Times New Roman" w:hAnsi="Times New Roman"/>
          <w:b w:val="false"/>
          <w:i w:val="false"/>
          <w:color w:val="000000"/>
          <w:sz w:val="21"/>
        </w:rPr>
        <w:t>[Filed emergency 9/9/94 after Notice 3/2/94—published 9/28/94, effective 9/9/94]</w:t>
      </w:r>
    </w:p>
    <w:p>
      <w:pPr>
        <w:spacing w:before="0" w:after="0"/>
        <w:ind w:left="120"/>
        <w:jc w:val="center"/>
      </w:pPr>
      <w:r>
        <w:rPr>
          <w:rFonts w:ascii="Times New Roman" w:hAnsi="Times New Roman"/>
          <w:b w:val="false"/>
          <w:i w:val="false"/>
          <w:color w:val="000000"/>
          <w:sz w:val="21"/>
        </w:rPr>
        <w:t>[Filed emergency 9/8/95 after Notice 3/1/95—published 9/27/95, effective 9/8/95]</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ARC 9239C</w:t>
      </w:r>
      <w:r>
        <w:rPr>
          <w:rFonts w:ascii="Times New Roman" w:hAnsi="Times New Roman"/>
          <w:b w:val="false"/>
          <w:i w:val="false"/>
          <w:color w:val="000000"/>
          <w:sz w:val="21"/>
        </w:rPr>
        <w:t xml:space="preserve"> (Notice ARC 8620C, IAB 1/8/25)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ARC 0696D</w:t>
      </w:r>
      <w:r>
        <w:rPr>
          <w:rFonts w:ascii="Times New Roman" w:hAnsi="Times New Roman"/>
          <w:b w:val="false"/>
          <w:i w:val="false"/>
          <w:color w:val="000000"/>
          <w:sz w:val="21"/>
        </w:rPr>
        <w:t xml:space="preserve"> (Notice ARC 0548D, IAB 9/2/26)</w:t>
      </w:r>
      <w:r>
        <w:rPr>
          <w:rFonts w:ascii="Times New Roman" w:hAnsi="Times New Roman"/>
          <w:b w:val="false"/>
          <w:i w:val="false"/>
          <w:color w:val="000000"/>
          <w:sz w:val="21"/>
        </w:rPr>
        <w:t>, IAB 10/28/26, effective 1/1/27]</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96.1.pdf" Type="http://schemas.openxmlformats.org/officeDocument/2006/relationships/hyperlink" Id="rId5"/>
    <Relationship TargetMode="External" Target="https://www.legis.iowa.gov/docs/iac/rule/571.96.4.pdf" Type="http://schemas.openxmlformats.org/officeDocument/2006/relationships/hyperlink" Id="rId6"/>
    <Relationship TargetMode="External" Target="https://www.legis.iowa.gov/docs/iac/rule/571.96.1.pdf" Type="http://schemas.openxmlformats.org/officeDocument/2006/relationships/hyperlink" Id="rId7"/>
    <Relationship TargetMode="External" Target="https://www.legis.iowa.gov/docs/ico/chapter/481A.38.pdf" Type="http://schemas.openxmlformats.org/officeDocument/2006/relationships/hyperlink" Id="rId8"/>
    <Relationship TargetMode="External" Target="https://www.legis.iowa.gov/docs/ico/chapter/481A.39.pdf" Type="http://schemas.openxmlformats.org/officeDocument/2006/relationships/hyperlink" Id="rId9"/>
    <Relationship TargetMode="External" Target="https://www.legis.iowa.gov/docs/ico/chapter/481A.4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