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GAME HARVEST REPORTING AND LANDOWNER-TENANT REGISTRATION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571—95.1</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system. </w:t>
      </w:r>
      <w:r>
        <w:rPr>
          <w:rFonts w:ascii="Times New Roman" w:hAnsi="Times New Roman"/>
          <w:b w:val="false"/>
          <w:i w:val="false"/>
          <w:color w:val="000000"/>
          <w:sz w:val="22"/>
        </w:rPr>
        <w:t>Deer and turkey hunters must report each deer and wild turkey harvested to the department of natural resources (DNR) harvest reporting system. The hunter whose name is on the transportation tag is responsible for making the report. Hunters who do not bag a deer or wild turkey do not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Reporting deadlines for deer and turkey. </w:t>
      </w:r>
      <w:r>
        <w:rPr>
          <w:rFonts w:ascii="Times New Roman" w:hAnsi="Times New Roman"/>
          <w:b w:val="false"/>
          <w:i w:val="false"/>
          <w:color w:val="000000"/>
          <w:sz w:val="22"/>
        </w:rPr>
        <w:t>A harvest report must be made by midnight on the day after the animal is tagged or before the animal is taken to a locker or taxidermist, is processed for consumption, or is transported out of state,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Method of reporting. </w:t>
      </w:r>
      <w:r>
        <w:rPr>
          <w:rFonts w:ascii="Times New Roman" w:hAnsi="Times New Roman"/>
          <w:b w:val="false"/>
          <w:i w:val="false"/>
          <w:color w:val="000000"/>
          <w:sz w:val="22"/>
        </w:rPr>
        <w:t>Hunters may report the harvest in one of five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Through the electronic licensing system for Iowa (ELSI)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texting the registration number to 1.800.771.4692 and following the prompts.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calling the DNR toll-free harvest reporting telephone number at 1.800.771.4692.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reporting through the internet using the DNR online harvest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visiting an ELSI license agent during the license agent’s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Report confirmation. </w:t>
      </w:r>
      <w:r>
        <w:rPr>
          <w:rFonts w:ascii="Times New Roman" w:hAnsi="Times New Roman"/>
          <w:b w:val="false"/>
          <w:i w:val="false"/>
          <w:color w:val="000000"/>
          <w:sz w:val="22"/>
        </w:rPr>
        <w:t>The hunter will be given a confirmation number to write on the harvest report tag to verify that the hunter has reported the kill. The harvest report tag and confirmation number must remain attached to the deer or wild turkey until the deer or wild turkey is processed for consumption.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571—95.2</w:t>
      </w:r>
      <w:r>
        <w:rPr>
          <w:rFonts w:ascii="Times New Roman" w:hAnsi="Times New Roman"/>
          <w:b/>
          <w:i w:val="false"/>
          <w:color w:val="000000"/>
          <w:sz w:val="22"/>
        </w:rPr>
        <w:t xml:space="preserve">(481A) </w:t>
      </w:r>
      <w:r>
        <w:rPr>
          <w:rFonts w:ascii="Times New Roman" w:hAnsi="Times New Roman"/>
          <w:b/>
          <w:i w:val="false"/>
          <w:color w:val="000000"/>
          <w:sz w:val="22"/>
        </w:rPr>
        <w:t xml:space="preserve">Verifying eligibility for free landowner or tenant licenses. </w:t>
      </w:r>
      <w:r>
        <w:rPr>
          <w:rFonts w:ascii="Times New Roman" w:hAnsi="Times New Roman"/>
          <w:b w:val="false"/>
          <w:i w:val="false"/>
          <w:color w:val="000000"/>
          <w:sz w:val="22"/>
        </w:rPr>
        <w:t xml:space="preserve">Eligibility for free and reduced-fee deer and wild turkey hunting licenses, hereafter referred to as free licenses, is defined in Iowa Code section </w:t>
      </w:r>
      <w:hyperlink r:id="rId5">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571—98.6</w:t>
        </w:r>
      </w:hyperlink>
      <w:r>
        <w:rPr>
          <w:rFonts w:ascii="Times New Roman" w:hAnsi="Times New Roman"/>
          <w:b w:val="false"/>
          <w:i w:val="false"/>
          <w:color w:val="000000"/>
          <w:sz w:val="22"/>
        </w:rPr>
        <w:t xml:space="preserve">(483A) and </w:t>
      </w:r>
      <w:hyperlink r:id="rId7">
        <w:r>
          <w:rPr>
            <w:rStyle w:val="Hyperlink"/>
            <w:rFonts w:ascii="Times New Roman" w:hAnsi="Times New Roman"/>
            <w:b w:val="false"/>
            <w:i w:val="false"/>
            <w:color w:val="000000"/>
            <w:sz w:val="22"/>
          </w:rPr>
          <w:t>571—106.17</w:t>
        </w:r>
      </w:hyperlink>
      <w:r>
        <w:rPr>
          <w:rFonts w:ascii="Times New Roman" w:hAnsi="Times New Roman"/>
          <w:b w:val="false"/>
          <w:i w:val="false"/>
          <w:color w:val="000000"/>
          <w:sz w:val="22"/>
        </w:rPr>
        <w:t>(481A). The ELSI will not issue free licenses to persons who have not registered their eligibility with ELSI.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color w:val="000000"/>
          <w:sz w:val="22"/>
        </w:rPr>
        <w:t xml:space="preserve">Farm unit. </w:t>
      </w:r>
      <w:r>
        <w:rPr>
          <w:rFonts w:ascii="Times New Roman" w:hAnsi="Times New Roman"/>
          <w:b w:val="false"/>
          <w:i w:val="false"/>
          <w:color w:val="000000"/>
          <w:sz w:val="22"/>
        </w:rPr>
        <w:t xml:space="preserve">As provided in </w:t>
      </w:r>
      <w:hyperlink r:id="rId8">
        <w:r>
          <w:rPr>
            <w:rStyle w:val="Hyperlink"/>
            <w:rFonts w:ascii="Times New Roman" w:hAnsi="Times New Roman"/>
            <w:b w:val="false"/>
            <w:i w:val="false"/>
            <w:color w:val="000000"/>
            <w:sz w:val="22"/>
          </w:rPr>
          <w:t>571—subrule 106.17(6)</w:t>
        </w:r>
      </w:hyperlink>
      <w:r>
        <w:rPr>
          <w:rFonts w:ascii="Times New Roman" w:hAnsi="Times New Roman"/>
          <w:b w:val="false"/>
          <w:i w:val="false"/>
          <w:color w:val="000000"/>
          <w:sz w:val="22"/>
        </w:rPr>
        <w:t>, all the land under the lawful control of the landowner or tenant is considered one farm unit no matter how it is subdivided for business purposes. No one may be registered as eligible for free licenses on more than one farm unit. Registering on one parcel of land within the farm unit will allow the landowner, tenant or family member to hunt on all land in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color w:val="000000"/>
          <w:sz w:val="22"/>
        </w:rPr>
        <w:t xml:space="preserve">Who may obtain free licenses. </w:t>
      </w:r>
      <w:r>
        <w:rPr>
          <w:rFonts w:ascii="Times New Roman" w:hAnsi="Times New Roman"/>
          <w:b w:val="false"/>
          <w:i w:val="false"/>
          <w:color w:val="000000"/>
          <w:sz w:val="22"/>
        </w:rPr>
        <w:t>One member of the landowner family (the landowner or an eligible family member) may obtain a free any-deer license. Members of the landowner family may divide the free antlerless-deer-only licenses for which the family is eligible among themselves in any way they choose. If there is a tenant on the same property, one member of the tenant family (the tenant or an eligible family member) may also obtain a free any-deer license. Members of the tenant family may divide the free antlerless-deer-only licenses for which they may be eligible among themselves in any way they choose. One member of the landowner family and one member of the tenant family may each obtain one free spring turkey hunting license and one free fall turkey hunting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95.2(3)</w:t>
      </w:r>
      <w:r>
        <w:rPr>
          <w:rFonts w:ascii="Times New Roman" w:hAnsi="Times New Roman"/>
          <w:b w:val="false"/>
          <w:i w:val="false"/>
          <w:color w:val="000000"/>
          <w:sz w:val="22"/>
        </w:rPr>
        <w:t> </w:t>
      </w:r>
      <w:r>
        <w:rPr>
          <w:rFonts w:ascii="Times New Roman" w:hAnsi="Times New Roman"/>
          <w:b w:val="false"/>
          <w:i/>
          <w:color w:val="000000"/>
          <w:sz w:val="22"/>
        </w:rPr>
        <w:t xml:space="preserve">Method of registration. </w:t>
      </w:r>
      <w:r>
        <w:rPr>
          <w:rFonts w:ascii="Times New Roman" w:hAnsi="Times New Roman"/>
          <w:b w:val="false"/>
          <w:i w:val="false"/>
          <w:color w:val="000000"/>
          <w:sz w:val="22"/>
        </w:rPr>
        <w:t>A landowner or tenant may register on the internet through ELSI or by mailing an affidavit obtained from DNR. The online system is available 24 hours a day, seven days a week. An online registrant may obtain a free license once the registration process is complete. A person who registers through the mail or by fax may have to wait up to ten business days after the form is received by DNR to obtain a free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95.2(4)</w:t>
      </w:r>
      <w:r>
        <w:rPr>
          <w:rFonts w:ascii="Times New Roman" w:hAnsi="Times New Roman"/>
          <w:b w:val="false"/>
          <w:i w:val="false"/>
          <w:color w:val="000000"/>
          <w:sz w:val="22"/>
        </w:rPr>
        <w:t> </w:t>
      </w:r>
      <w:r>
        <w:rPr>
          <w:rFonts w:ascii="Times New Roman" w:hAnsi="Times New Roman"/>
          <w:b w:val="false"/>
          <w:i/>
          <w:color w:val="000000"/>
          <w:sz w:val="22"/>
        </w:rPr>
        <w:t xml:space="preserve">Information verifying eligibility. </w:t>
      </w:r>
      <w:r>
        <w:rPr>
          <w:rFonts w:ascii="Times New Roman" w:hAnsi="Times New Roman"/>
          <w:b w:val="false"/>
          <w:i w:val="false"/>
          <w:color w:val="000000"/>
          <w:sz w:val="22"/>
        </w:rPr>
        <w:t>In order to register, a landowner, tenant or qualifying family member must have a customer record in ELSI. When registering, landowners, tenants and family members will be required to provide their ELSI customer number or their Iowa driver’s license number or social security number and their date of birth to identify their ELSI customer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Landowners. </w:t>
      </w:r>
      <w:r>
        <w:rPr>
          <w:rFonts w:ascii="Times New Roman" w:hAnsi="Times New Roman"/>
          <w:b w:val="false"/>
          <w:i w:val="false"/>
          <w:color w:val="000000"/>
          <w:sz w:val="22"/>
        </w:rPr>
        <w:t>A landowner shall provide the parcel identification number (PIN) from the landowner’s current property tax statement for one parcel of qualifying land owned by the landowner and the number of the county where the land is located. Qualifying family members shall be registered to the same parcel of qualifying land as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Partnerships, corporations or other forms of joint land ownership. </w:t>
      </w:r>
      <w:r>
        <w:rPr>
          <w:rFonts w:ascii="Times New Roman" w:hAnsi="Times New Roman"/>
          <w:b w:val="false"/>
          <w:i w:val="false"/>
          <w:color w:val="000000"/>
          <w:sz w:val="22"/>
        </w:rPr>
        <w:t>Each owner of a jointly owned farm unit and the owner’s qualifying family members who wish to receive free licenses for that farm unit shall register with the same county number and PIN. Only one joint owner or family member may obtain the one any-deer license available for the farm unit. The other joint owner(s) and family members may divide any other free licenses to which they are entitled among themselves in any way they choose.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Tenants. </w:t>
      </w:r>
      <w:r>
        <w:rPr>
          <w:rFonts w:ascii="Times New Roman" w:hAnsi="Times New Roman"/>
          <w:b w:val="false"/>
          <w:i w:val="false"/>
          <w:color w:val="000000"/>
          <w:sz w:val="22"/>
        </w:rPr>
        <w:t>A tenant shall provide an affidavit that contains the name, address, and telephone number of the owner of the qualifying land rented by the tenant; the county number where the land is located; and the landowner’s PIN from one parcel of that qualifying land. If a tenant rents land from more than one landowner, the tenant shall provide the required information about only one landowner. The tenant’s qualifying family members shall be registered to the same parcel of qualifying land as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Signature required.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all affidavits submitted to register eligibility for free licenses shall bear the signature of the landowner, tenant, or family member attesting that the information contained therein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Instructions and affidavits may be obtained online at </w:t>
      </w:r>
      <w:hyperlink r:id="rId10">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at DNR offices, or by calling 515.725.8200.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95.2(6)</w:t>
      </w:r>
      <w:r>
        <w:rPr>
          <w:rFonts w:ascii="Times New Roman" w:hAnsi="Times New Roman"/>
          <w:b w:val="false"/>
          <w:i w:val="false"/>
          <w:color w:val="000000"/>
          <w:sz w:val="22"/>
        </w:rPr>
        <w:t> </w:t>
      </w:r>
      <w:r>
        <w:rPr>
          <w:rFonts w:ascii="Times New Roman" w:hAnsi="Times New Roman"/>
          <w:b w:val="false"/>
          <w:i/>
          <w:color w:val="000000"/>
          <w:sz w:val="22"/>
        </w:rPr>
        <w:t xml:space="preserve">Registration expiration and renewal. </w:t>
      </w:r>
      <w:r>
        <w:rPr>
          <w:rFonts w:ascii="Times New Roman" w:hAnsi="Times New Roman"/>
          <w:b w:val="false"/>
          <w:i w:val="false"/>
          <w:color w:val="000000"/>
          <w:sz w:val="22"/>
        </w:rPr>
        <w:t xml:space="preserve">A registered landowner, tenant, or eligible family member may obtain free licenses as allowed in </w:t>
      </w:r>
      <w:hyperlink r:id="rId11">
        <w:r>
          <w:rPr>
            <w:rStyle w:val="Hyperlink"/>
            <w:rFonts w:ascii="Times New Roman" w:hAnsi="Times New Roman"/>
            <w:b w:val="false"/>
            <w:i w:val="false"/>
            <w:color w:val="000000"/>
            <w:sz w:val="22"/>
          </w:rPr>
          <w:t>95.2(2)</w:t>
        </w:r>
      </w:hyperlink>
      <w:r>
        <w:rPr>
          <w:rFonts w:ascii="Times New Roman" w:hAnsi="Times New Roman"/>
          <w:b w:val="false"/>
          <w:i w:val="false"/>
          <w:color w:val="000000"/>
          <w:sz w:val="22"/>
        </w:rPr>
        <w:t xml:space="preserve"> provided the registration information and eligibility status remain valid. If the registration information or eligibility status of a registered landowner, tenant, or eligible family member changes, that individual must mail a DNR affidavit form or contact the DNR by telephone. The DNR will periodically review registration information to verify eligibility status and will inactivate registrations when the registration information fails to indicate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95.2(7)</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Free licenses will not be issued to an applicant until a legible and complete affidavit is received by DNR. An illegible or incomplete affidavit will be returned to the applicant for correction. A person who has made a false attestation in obtaining a license in violation of Iowa Code section </w:t>
      </w:r>
      <w:hyperlink r:id="rId12">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be guilty of a simple misdemeanor and subject to license revocation as provided in Iowa Code sections </w:t>
      </w:r>
      <w:hyperlink r:id="rId13">
        <w:r>
          <w:rPr>
            <w:rStyle w:val="Hyperlink"/>
            <w:rFonts w:ascii="Times New Roman" w:hAnsi="Times New Roman"/>
            <w:b w:val="false"/>
            <w:i w:val="false"/>
            <w:color w:val="000000"/>
            <w:sz w:val="22"/>
          </w:rPr>
          <w:t>483A.21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571—subrule 106.8(3)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483A.8A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483A.2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3/29/06—published 7/5/06, effective 8/9/06]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7919B</w:t>
      </w:r>
      <w:r>
        <w:rPr>
          <w:rFonts w:ascii="Times New Roman" w:hAnsi="Times New Roman"/>
          <w:b w:val="false"/>
          <w:i w:val="false"/>
          <w:color w:val="000000"/>
          <w:sz w:val="21"/>
        </w:rPr>
        <w:t xml:space="preserve"> (Notice ARC 7688B,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0280D</w:t>
      </w:r>
      <w:r>
        <w:rPr>
          <w:rFonts w:ascii="Times New Roman" w:hAnsi="Times New Roman"/>
          <w:b w:val="false"/>
          <w:i w:val="false"/>
          <w:color w:val="000000"/>
          <w:sz w:val="21"/>
        </w:rPr>
        <w:t xml:space="preserve"> (Notice ARC 9924C, IAB 1/7/26)</w:t>
      </w:r>
      <w:r>
        <w:rPr>
          <w:rFonts w:ascii="Times New Roman" w:hAnsi="Times New Roman"/>
          <w:b w:val="false"/>
          <w:i w:val="false"/>
          <w:color w:val="000000"/>
          <w:sz w:val="21"/>
        </w:rPr>
        <w:t>, IAB 5/13/26, effective 6/17/26]</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24.pdf" Type="http://schemas.openxmlformats.org/officeDocument/2006/relationships/hyperlink" Id="rId5"/>
    <Relationship TargetMode="External" Target="https://www.legis.iowa.gov/docs/iac/rule/571.98.6.pdf" Type="http://schemas.openxmlformats.org/officeDocument/2006/relationships/hyperlink" Id="rId6"/>
    <Relationship TargetMode="External" Target="https://www.legis.iowa.gov/docs/iac/rule/571.106.17.pdf" Type="http://schemas.openxmlformats.org/officeDocument/2006/relationships/hyperlink" Id="rId7"/>
    <Relationship TargetMode="External" Target="https://www.legis.iowa.gov/docs/iac/rule/571.106.17.pdf" Type="http://schemas.openxmlformats.org/officeDocument/2006/relationships/hyperlink" Id="rId8"/>
    <Relationship TargetMode="External" Target="https://www.legis.iowa.gov/docs/ico/chapter/483A.24.pdf" Type="http://schemas.openxmlformats.org/officeDocument/2006/relationships/hyperlink" Id="rId9"/>
    <Relationship TargetMode="External" Target="http://www.iowadnr.gov" Type="http://schemas.openxmlformats.org/officeDocument/2006/relationships/hyperlink" Id="rId10"/>
    <Relationship TargetMode="External" Target="https://www.legis.iowa.gov/docs/iac/rule/571.95.2.pdf" Type="http://schemas.openxmlformats.org/officeDocument/2006/relationships/hyperlink" Id="rId11"/>
    <Relationship TargetMode="External" Target="https://www.legis.iowa.gov/docs/ico/chapter/483A.24.pdf" Type="http://schemas.openxmlformats.org/officeDocument/2006/relationships/hyperlink" Id="rId12"/>
    <Relationship TargetMode="External" Target="https://www.legis.iowa.gov/docs/ico/chapter/483A.21.pdf" Type="http://schemas.openxmlformats.org/officeDocument/2006/relationships/hyperlink" Id="rId13"/>
    <Relationship TargetMode="External" Target="https://www.legis.iowa.gov/docs/ico/chapter/483A.24.pdf" Type="http://schemas.openxmlformats.org/officeDocument/2006/relationships/hyperlink" Id="rId14"/>
    <Relationship TargetMode="External" Target="https://www.legis.iowa.gov/docs/iac/rule/571.106.8.pdf" Type="http://schemas.openxmlformats.org/officeDocument/2006/relationships/hyperlink" Id="rId15"/>
    <Relationship TargetMode="External" Target="https://www.legis.iowa.gov/docs/ico/chapter/481A.38.pdf" Type="http://schemas.openxmlformats.org/officeDocument/2006/relationships/hyperlink" Id="rId16"/>
    <Relationship TargetMode="External" Target="https://www.legis.iowa.gov/docs/ico/chapter/481A.39.pdf" Type="http://schemas.openxmlformats.org/officeDocument/2006/relationships/hyperlink" Id="rId17"/>
    <Relationship TargetMode="External" Target="https://www.legis.iowa.gov/docs/ico/chapter/481A.48.pdf" Type="http://schemas.openxmlformats.org/officeDocument/2006/relationships/hyperlink" Id="rId18"/>
    <Relationship TargetMode="External" Target="https://www.legis.iowa.gov/docs/ico/chapter/483A.1.pdf" Type="http://schemas.openxmlformats.org/officeDocument/2006/relationships/hyperlink" Id="rId19"/>
    <Relationship TargetMode="External" Target="https://www.legis.iowa.gov/docs/ico/chapter/483A.7.pdf" Type="http://schemas.openxmlformats.org/officeDocument/2006/relationships/hyperlink" Id="rId20"/>
    <Relationship TargetMode="External" Target="https://www.legis.iowa.gov/docs/ico/chapter/483A.8.pdf" Type="http://schemas.openxmlformats.org/officeDocument/2006/relationships/hyperlink" Id="rId21"/>
    <Relationship TargetMode="External" Target="https://www.legis.iowa.gov/docs/ico/chapter/483A.8A.pdf" Type="http://schemas.openxmlformats.org/officeDocument/2006/relationships/hyperlink" Id="rId22"/>
    <Relationship TargetMode="External" Target="https://www.legis.iowa.gov/docs/ico/chapter/483A.2.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