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87</w:t>
      </w:r>
    </w:p>
    <w:p>
      <w:pPr>
        <w:spacing w:before="0" w:after="0"/>
        <w:ind w:left="120"/>
        <w:jc w:val="center"/>
      </w:pPr>
      <w:r>
        <w:rPr>
          <w:rFonts w:ascii="Times New Roman" w:hAnsi="Times New Roman"/>
          <w:b w:val="false"/>
          <w:i w:val="false"/>
          <w:color w:val="000000"/>
          <w:sz w:val="21"/>
        </w:rPr>
        <w:t>MUSSEL REGULATIONS</w:t>
      </w:r>
    </w:p>
    <w:p>
      <w:pPr>
        <w:spacing w:before="0" w:after="0"/>
        <w:ind w:left="120"/>
        <w:jc w:val="center"/>
      </w:pPr>
      <w:r>
        <w:rPr>
          <w:rFonts w:ascii="Times New Roman" w:hAnsi="Times New Roman"/>
          <w:b w:val="false"/>
          <w:i w:val="false"/>
          <w:color w:val="000000"/>
          <w:sz w:val="14"/>
        </w:rPr>
        <w:t>[Prior to 12/31/86, Conservation Commission[290] Ch 12]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6/17/31</w:t>
      </w:r>
    </w:p>
    <w:p>
      <w:pPr>
        <w:spacing w:before="0" w:after="0"/>
        <w:ind w:left="120"/>
        <w:jc w:val="both"/>
      </w:pPr>
      <w:r>
        <w:rPr>
          <w:rFonts w:ascii="Times New Roman" w:hAnsi="Times New Roman"/>
          <w:b/>
          <w:i w:val="false"/>
          <w:color w:val="000000"/>
          <w:sz w:val="22"/>
        </w:rPr>
        <w:t>571—87.1</w:t>
      </w:r>
      <w:r>
        <w:rPr>
          <w:rFonts w:ascii="Times New Roman" w:hAnsi="Times New Roman"/>
          <w:b/>
          <w:i w:val="false"/>
          <w:color w:val="000000"/>
          <w:sz w:val="22"/>
        </w:rPr>
        <w:t xml:space="preserve">(481A) </w:t>
      </w:r>
      <w:r>
        <w:rPr>
          <w:rFonts w:ascii="Times New Roman" w:hAnsi="Times New Roman"/>
          <w:b/>
          <w:i w:val="false"/>
          <w:color w:val="000000"/>
          <w:sz w:val="22"/>
        </w:rPr>
        <w:t xml:space="preserve">Seasons, areas, methods, species, limits. </w:t>
      </w:r>
      <w:r>
        <w:rPr>
          <w:rFonts w:ascii="Times New Roman" w:hAnsi="Times New Roman"/>
          <w:b w:val="false"/>
          <w:i w:val="false"/>
          <w:color w:val="000000"/>
          <w:sz w:val="22"/>
        </w:rPr>
        <w:t>The taking and possession of mussels from the public waters of the state shall be limited to the following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87.1(1)</w:t>
      </w:r>
      <w:r>
        <w:rPr>
          <w:rFonts w:ascii="Times New Roman" w:hAnsi="Times New Roman"/>
          <w:b w:val="false"/>
          <w:i w:val="false"/>
          <w:color w:val="000000"/>
          <w:sz w:val="22"/>
        </w:rPr>
        <w:t> </w:t>
      </w:r>
      <w:r>
        <w:rPr>
          <w:rFonts w:ascii="Times New Roman" w:hAnsi="Times New Roman"/>
          <w:b w:val="false"/>
          <w:i/>
          <w:color w:val="000000"/>
          <w:sz w:val="22"/>
        </w:rPr>
        <w:t xml:space="preserve">Seasons. </w:t>
      </w:r>
      <w:r>
        <w:rPr>
          <w:rFonts w:ascii="Times New Roman" w:hAnsi="Times New Roman"/>
          <w:b w:val="false"/>
          <w:i w:val="false"/>
          <w:color w:val="000000"/>
          <w:sz w:val="22"/>
        </w:rPr>
        <w:t>There shall be an open season for taking mussels throughout the year. The taking of mussels is restricted to the hours between sunrise and sunset.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87.1(2)</w:t>
      </w:r>
      <w:r>
        <w:rPr>
          <w:rFonts w:ascii="Times New Roman" w:hAnsi="Times New Roman"/>
          <w:b w:val="false"/>
          <w:i w:val="false"/>
          <w:color w:val="000000"/>
          <w:sz w:val="22"/>
        </w:rPr>
        <w:t> </w:t>
      </w:r>
      <w:r>
        <w:rPr>
          <w:rFonts w:ascii="Times New Roman" w:hAnsi="Times New Roman"/>
          <w:b w:val="false"/>
          <w:i/>
          <w:color w:val="000000"/>
          <w:sz w:val="22"/>
        </w:rPr>
        <w:t xml:space="preserve">Species. </w:t>
      </w:r>
      <w:r>
        <w:rPr>
          <w:rFonts w:ascii="Times New Roman" w:hAnsi="Times New Roman"/>
          <w:b w:val="false"/>
          <w:i w:val="false"/>
          <w:color w:val="000000"/>
          <w:sz w:val="22"/>
        </w:rPr>
        <w:t>Species other than those listed as threatened or endangered may be lawfully taken and possessed. Zebra mussels shall not be taken and possessed.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87.1(3)</w:t>
      </w:r>
      <w:r>
        <w:rPr>
          <w:rFonts w:ascii="Times New Roman" w:hAnsi="Times New Roman"/>
          <w:b w:val="false"/>
          <w:i w:val="false"/>
          <w:color w:val="000000"/>
          <w:sz w:val="22"/>
        </w:rPr>
        <w:t> </w:t>
      </w:r>
      <w:r>
        <w:rPr>
          <w:rFonts w:ascii="Times New Roman" w:hAnsi="Times New Roman"/>
          <w:b w:val="false"/>
          <w:i/>
          <w:color w:val="000000"/>
          <w:sz w:val="22"/>
        </w:rPr>
        <w:t xml:space="preserve">Areas. </w:t>
      </w:r>
      <w:r>
        <w:rPr>
          <w:rFonts w:ascii="Times New Roman" w:hAnsi="Times New Roman"/>
          <w:b w:val="false"/>
          <w:i w:val="false"/>
          <w:color w:val="000000"/>
          <w:sz w:val="22"/>
        </w:rPr>
        <w:t>Live mussels may be harvested only from the Mississippi River and connected backwaters. Dead mussels may be harvested from all waters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87.1(4)</w:t>
      </w:r>
      <w:r>
        <w:rPr>
          <w:rFonts w:ascii="Times New Roman" w:hAnsi="Times New Roman"/>
          <w:b w:val="false"/>
          <w:i w:val="false"/>
          <w:color w:val="000000"/>
          <w:sz w:val="22"/>
        </w:rPr>
        <w:t> </w:t>
      </w:r>
      <w:r>
        <w:rPr>
          <w:rFonts w:ascii="Times New Roman" w:hAnsi="Times New Roman"/>
          <w:b w:val="false"/>
          <w:i/>
          <w:color w:val="000000"/>
          <w:sz w:val="22"/>
        </w:rPr>
        <w:t xml:space="preserve">Limits. </w:t>
      </w:r>
      <w:r>
        <w:rPr>
          <w:rFonts w:ascii="Times New Roman" w:hAnsi="Times New Roman"/>
          <w:b w:val="false"/>
          <w:i w:val="false"/>
          <w:color w:val="000000"/>
          <w:sz w:val="22"/>
        </w:rPr>
        <w:t>The possession limit is 24 whole mussels or 48 shell halves. The sale of mussels or shells is not permitted. Licensed commercial fishers, licensed sport anglers, and children younger than 16 years of age may take and possess mussels.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87.1(5)</w:t>
      </w:r>
      <w:r>
        <w:rPr>
          <w:rFonts w:ascii="Times New Roman" w:hAnsi="Times New Roman"/>
          <w:b w:val="false"/>
          <w:i w:val="false"/>
          <w:color w:val="000000"/>
          <w:sz w:val="22"/>
        </w:rPr>
        <w:t> </w:t>
      </w:r>
      <w:r>
        <w:rPr>
          <w:rFonts w:ascii="Times New Roman" w:hAnsi="Times New Roman"/>
          <w:b w:val="false"/>
          <w:i/>
          <w:color w:val="000000"/>
          <w:sz w:val="22"/>
        </w:rPr>
        <w:t xml:space="preserve">Methods. </w:t>
      </w:r>
      <w:r>
        <w:rPr>
          <w:rFonts w:ascii="Times New Roman" w:hAnsi="Times New Roman"/>
          <w:b w:val="false"/>
          <w:i w:val="false"/>
          <w:color w:val="000000"/>
          <w:sz w:val="22"/>
        </w:rPr>
        <w:t>Mussels may be taken by hand, pole and line, diving, and crowfoot bar not to exceed 20 feet in length.</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
        <w:r>
          <w:rPr>
            <w:rStyle w:val="Hyperlink"/>
            <w:rFonts w:ascii="Times New Roman" w:hAnsi="Times New Roman"/>
            <w:b w:val="false"/>
            <w:i w:val="false"/>
            <w:color w:val="000000"/>
            <w:sz w:val="22"/>
          </w:rPr>
          <w:t>481A.38</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481A.39</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482.1</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482.3</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483A.28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0276D</w:t>
      </w:r>
      <w:r>
        <w:rPr>
          <w:rFonts w:ascii="Times New Roman" w:hAnsi="Times New Roman"/>
          <w:b w:val="false"/>
          <w:i w:val="false"/>
          <w:color w:val="000000"/>
          <w:sz w:val="16"/>
        </w:rPr>
        <w:t>, IAB 5/13/26, effective 6/17/26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6/9/70]</w:t>
      </w:r>
    </w:p>
    <w:p>
      <w:pPr>
        <w:spacing w:before="0" w:after="0"/>
        <w:ind w:left="120"/>
        <w:jc w:val="center"/>
      </w:pPr>
      <w:r>
        <w:rPr>
          <w:rFonts w:ascii="Times New Roman" w:hAnsi="Times New Roman"/>
          <w:b w:val="false"/>
          <w:i w:val="false"/>
          <w:color w:val="000000"/>
          <w:sz w:val="21"/>
        </w:rPr>
        <w:t>[Filed 12/2/83, Notice 10/26/83—published 12/21/83, effective 2/1/84]</w:t>
      </w:r>
    </w:p>
    <w:p>
      <w:pPr>
        <w:spacing w:before="0" w:after="0"/>
        <w:ind w:left="120"/>
        <w:jc w:val="center"/>
      </w:pPr>
      <w:r>
        <w:rPr>
          <w:rFonts w:ascii="Times New Roman" w:hAnsi="Times New Roman"/>
          <w:b w:val="false"/>
          <w:i w:val="false"/>
          <w:color w:val="000000"/>
          <w:sz w:val="21"/>
        </w:rPr>
        <w:t>[Filed 4/4/86, Notice 12/4/85—published 4/23/86, effective 5/28/86]</w:t>
      </w:r>
    </w:p>
    <w:p>
      <w:pPr>
        <w:spacing w:before="0" w:after="0"/>
        <w:ind w:left="120"/>
        <w:jc w:val="center"/>
      </w:pPr>
      <w:r>
        <w:rPr>
          <w:rFonts w:ascii="Times New Roman" w:hAnsi="Times New Roman"/>
          <w:b w:val="false"/>
          <w:i w:val="false"/>
          <w:color w:val="000000"/>
          <w:sz w:val="21"/>
        </w:rPr>
        <w:t>[Filed emergency 7/10/86—published 7/30/86, effective 7/10/86]</w:t>
      </w:r>
    </w:p>
    <w:p>
      <w:pPr>
        <w:spacing w:before="0" w:after="0"/>
        <w:ind w:left="120"/>
        <w:jc w:val="center"/>
      </w:pPr>
      <w:r>
        <w:rPr>
          <w:rFonts w:ascii="Times New Roman" w:hAnsi="Times New Roman"/>
          <w:b w:val="false"/>
          <w:i w:val="false"/>
          <w:color w:val="000000"/>
          <w:sz w:val="21"/>
        </w:rPr>
        <w:t>[Filed 10/17/86, Notice 7/30/86—published 11/5/86, effective 1/1/87]</w:t>
      </w:r>
    </w:p>
    <w:p>
      <w:pPr>
        <w:spacing w:before="0" w:after="0"/>
        <w:ind w:left="120"/>
        <w:jc w:val="center"/>
      </w:pPr>
      <w:r>
        <w:rPr>
          <w:rFonts w:ascii="Times New Roman" w:hAnsi="Times New Roman"/>
          <w:b w:val="false"/>
          <w:i w:val="false"/>
          <w:color w:val="000000"/>
          <w:sz w:val="21"/>
        </w:rPr>
        <w:t>[Filed without Notice 12/12/86—published 12/31/86, effective 2/4/87]</w:t>
      </w:r>
    </w:p>
    <w:p>
      <w:pPr>
        <w:spacing w:before="0" w:after="0"/>
        <w:ind w:left="120"/>
        <w:jc w:val="center"/>
      </w:pPr>
      <w:r>
        <w:rPr>
          <w:rFonts w:ascii="Times New Roman" w:hAnsi="Times New Roman"/>
          <w:b w:val="false"/>
          <w:i w:val="false"/>
          <w:color w:val="000000"/>
          <w:sz w:val="21"/>
        </w:rPr>
        <w:t>[Filed 11/9/89, Notice 9/6/89—published 11/29/89, effective 4/1/90]</w:t>
      </w:r>
    </w:p>
    <w:p>
      <w:pPr>
        <w:spacing w:before="0" w:after="0"/>
        <w:ind w:left="120"/>
        <w:jc w:val="center"/>
      </w:pPr>
      <w:r>
        <w:rPr>
          <w:rFonts w:ascii="Times New Roman" w:hAnsi="Times New Roman"/>
          <w:b w:val="false"/>
          <w:i w:val="false"/>
          <w:color w:val="000000"/>
          <w:sz w:val="21"/>
        </w:rPr>
        <w:t>[Filed 4/12/91, Notice 2/6/91—published 5/1/91, effective 6/5/91]</w:t>
      </w:r>
    </w:p>
    <w:p>
      <w:pPr>
        <w:spacing w:before="0" w:after="0"/>
        <w:ind w:left="120"/>
        <w:jc w:val="center"/>
      </w:pPr>
      <w:r>
        <w:rPr>
          <w:rFonts w:ascii="Times New Roman" w:hAnsi="Times New Roman"/>
          <w:b w:val="false"/>
          <w:i w:val="false"/>
          <w:color w:val="000000"/>
          <w:sz w:val="21"/>
        </w:rPr>
        <w:t>[Filed 1/17/92, Notice 10/30/91—published 2/5/92, effective 4/1/92]</w:t>
      </w:r>
    </w:p>
    <w:p>
      <w:pPr>
        <w:spacing w:before="0" w:after="0"/>
        <w:ind w:left="120"/>
        <w:jc w:val="center"/>
      </w:pPr>
      <w:r>
        <w:rPr>
          <w:rFonts w:ascii="Times New Roman" w:hAnsi="Times New Roman"/>
          <w:b w:val="false"/>
          <w:i w:val="false"/>
          <w:color w:val="000000"/>
          <w:sz w:val="21"/>
        </w:rPr>
        <w:t>[Filed 2/21/97, Notice 11/6/96—published 3/12/97, effective 4/16/97]</w:t>
      </w:r>
    </w:p>
    <w:p>
      <w:pPr>
        <w:spacing w:before="0" w:after="0"/>
        <w:ind w:left="120"/>
        <w:jc w:val="center"/>
      </w:pPr>
      <w:r>
        <w:rPr>
          <w:rFonts w:ascii="Times New Roman" w:hAnsi="Times New Roman"/>
          <w:b w:val="false"/>
          <w:i w:val="false"/>
          <w:color w:val="000000"/>
          <w:sz w:val="21"/>
        </w:rPr>
        <w:t>[Filed 3/19/98, Notice 12/31/97—published 4/8/98, effective 5/13/98</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11/19/03, Notice 9/3/03—published 12/10/03, effective 1/14/04]</w:t>
      </w:r>
    </w:p>
    <w:p>
      <w:pPr>
        <w:spacing w:before="0" w:after="0"/>
        <w:ind w:left="120"/>
        <w:jc w:val="center"/>
      </w:pPr>
      <w:r>
        <w:rPr>
          <w:rFonts w:ascii="Times New Roman" w:hAnsi="Times New Roman"/>
          <w:b w:val="false"/>
          <w:i w:val="false"/>
          <w:color w:val="000000"/>
          <w:sz w:val="21"/>
        </w:rPr>
        <w:t>[Filed 11/16/05, Notice 8/31/05—published 12/7/05, effective 1/11/06]</w:t>
      </w:r>
    </w:p>
    <w:p>
      <w:pPr>
        <w:spacing w:before="0" w:after="0"/>
        <w:ind w:left="120"/>
        <w:jc w:val="center"/>
      </w:pPr>
      <w:r>
        <w:rPr>
          <w:rFonts w:ascii="Times New Roman" w:hAnsi="Times New Roman"/>
          <w:b w:val="false"/>
          <w:i w:val="false"/>
          <w:color w:val="000000"/>
          <w:sz w:val="21"/>
        </w:rPr>
        <w:t>[Filed 2/8/07, Notice 12/6/06—published 2/28/07, effective 4/4/07]</w:t>
      </w:r>
    </w:p>
    <w:p>
      <w:pPr>
        <w:spacing w:before="0" w:after="0"/>
        <w:ind w:left="120"/>
        <w:jc w:val="center"/>
      </w:pPr>
      <w:r>
        <w:rPr>
          <w:rFonts w:ascii="Times New Roman" w:hAnsi="Times New Roman"/>
          <w:b w:val="false"/>
          <w:i w:val="false"/>
          <w:color w:val="000000"/>
          <w:sz w:val="21"/>
        </w:rPr>
        <w:t>[Filed ARC 0276D</w:t>
      </w:r>
      <w:r>
        <w:rPr>
          <w:rFonts w:ascii="Times New Roman" w:hAnsi="Times New Roman"/>
          <w:b w:val="false"/>
          <w:i w:val="false"/>
          <w:color w:val="000000"/>
          <w:sz w:val="21"/>
        </w:rPr>
        <w:t xml:space="preserve"> (Notice ARC 9903C, IAB 1/7/26)</w:t>
      </w:r>
      <w:r>
        <w:rPr>
          <w:rFonts w:ascii="Times New Roman" w:hAnsi="Times New Roman"/>
          <w:b w:val="false"/>
          <w:i w:val="false"/>
          <w:color w:val="000000"/>
          <w:sz w:val="21"/>
        </w:rPr>
        <w:t>, IAB 5/13/26, effective 6/17/26]</w:t>
      </w:r>
    </w:p>
    <w:p>
      <w:pPr>
        <w:pBdr>
          <w:bottom w:space="2"/>
        </w:pBdr>
        <w:spacing w:before="0" w:after="0"/>
        <w:ind w:left="120"/>
        <w:jc w:val="both"/>
      </w:pPr>
      <w:r>
        <w:rPr>
          <w:rFonts w:ascii="Times New Roman" w:hAnsi="Times New Roman"/>
          <w:b w:val="false"/>
          <w:i w:val="false"/>
          <w:color w:val="000000"/>
          <w:sz w:val="22"/>
        </w:rPr>
        <w:t xml:space="preserve"> At its meeting held May 12, 1998, the Administrative Rules Review Committee delayed the effective date of May 13, 1998, until the adjournment of the 1999 Session of the General Assembly.</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81A.38.pdf" Type="http://schemas.openxmlformats.org/officeDocument/2006/relationships/hyperlink" Id="rId5"/>
    <Relationship TargetMode="External" Target="https://www.legis.iowa.gov/docs/ico/chapter/481A.39.pdf" Type="http://schemas.openxmlformats.org/officeDocument/2006/relationships/hyperlink" Id="rId6"/>
    <Relationship TargetMode="External" Target="https://www.legis.iowa.gov/docs/ico/chapter/482.1.pdf" Type="http://schemas.openxmlformats.org/officeDocument/2006/relationships/hyperlink" Id="rId7"/>
    <Relationship TargetMode="External" Target="https://www.legis.iowa.gov/docs/ico/chapter/482.3.pdf" Type="http://schemas.openxmlformats.org/officeDocument/2006/relationships/hyperlink" Id="rId8"/>
    <Relationship TargetMode="External" Target="https://www.legis.iowa.gov/docs/ico/chapter/483A.2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