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w:t>
      </w:r>
    </w:p>
    <w:p>
      <w:pPr>
        <w:spacing w:before="0" w:after="0"/>
        <w:ind w:left="120"/>
        <w:jc w:val="center"/>
      </w:pPr>
      <w:r>
        <w:rPr>
          <w:rFonts w:ascii="Times New Roman" w:hAnsi="Times New Roman"/>
          <w:b w:val="false"/>
          <w:i w:val="false"/>
          <w:color w:val="000000"/>
          <w:sz w:val="21"/>
        </w:rPr>
        <w:t>COMMERCIAL FISHING</w:t>
      </w:r>
    </w:p>
    <w:p>
      <w:pPr>
        <w:spacing w:before="0" w:after="0"/>
        <w:ind w:left="120"/>
        <w:jc w:val="center"/>
      </w:pPr>
      <w:r>
        <w:rPr>
          <w:rFonts w:ascii="Times New Roman" w:hAnsi="Times New Roman"/>
          <w:b w:val="false"/>
          <w:i w:val="false"/>
          <w:color w:val="000000"/>
          <w:sz w:val="14"/>
        </w:rPr>
        <w:t>[Prior to 12/31/86, Conservation Commission[290] Ch 110]</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6/17/31</w:t>
      </w:r>
    </w:p>
    <w:p>
      <w:pPr>
        <w:pBdr>
          <w:top w:space="10"/>
        </w:pBdr>
        <w:spacing w:before="0" w:after="0"/>
        <w:ind w:left="120"/>
        <w:jc w:val="center"/>
      </w:pPr>
      <w:r>
        <w:rPr>
          <w:rFonts w:ascii="Times New Roman" w:hAnsi="Times New Roman"/>
          <w:b w:val="false"/>
          <w:i w:val="false"/>
          <w:color w:val="000000"/>
          <w:sz w:val="16"/>
        </w:rPr>
        <w:t>INLAND WATERS</w:t>
      </w:r>
    </w:p>
    <w:p>
      <w:pPr>
        <w:spacing w:before="0" w:after="0"/>
        <w:ind w:left="120"/>
        <w:jc w:val="both"/>
      </w:pPr>
      <w:r>
        <w:rPr>
          <w:rFonts w:ascii="Times New Roman" w:hAnsi="Times New Roman"/>
          <w:b/>
          <w:i w:val="false"/>
          <w:color w:val="000000"/>
          <w:sz w:val="22"/>
        </w:rPr>
        <w:t>571—82.1</w:t>
      </w:r>
      <w:r>
        <w:rPr>
          <w:rFonts w:ascii="Times New Roman" w:hAnsi="Times New Roman"/>
          <w:b/>
          <w:i w:val="false"/>
          <w:color w:val="000000"/>
          <w:sz w:val="22"/>
        </w:rPr>
        <w:t xml:space="preserve">(482) </w:t>
      </w:r>
      <w:r>
        <w:rPr>
          <w:rFonts w:ascii="Times New Roman" w:hAnsi="Times New Roman"/>
          <w:b/>
          <w:i w:val="false"/>
          <w:color w:val="000000"/>
          <w:sz w:val="22"/>
        </w:rPr>
        <w:t xml:space="preserve">Contract policy. </w:t>
      </w:r>
      <w:r>
        <w:rPr>
          <w:rFonts w:ascii="Times New Roman" w:hAnsi="Times New Roman"/>
          <w:b w:val="false"/>
          <w:i w:val="false"/>
          <w:color w:val="000000"/>
          <w:sz w:val="22"/>
        </w:rPr>
        <w:t xml:space="preserve">All contracts for removal of fish from inland waters shall be awarded on a competitive basis to the maximum practical extent subject to the following provisions. Commercial fishers licensed with the state may enter into contract with owners of private water bodies for the removal of injurious fish provided approval is received from the director or staff of the department prior to any sampling or removal operations. Owners of private water bodies need not comply with </w:t>
      </w:r>
      <w:hyperlink r:id="rId5">
        <w:r>
          <w:rPr>
            <w:rStyle w:val="Hyperlink"/>
            <w:rFonts w:ascii="Times New Roman" w:hAnsi="Times New Roman"/>
            <w:b w:val="false"/>
            <w:i w:val="false"/>
            <w:color w:val="000000"/>
            <w:sz w:val="22"/>
          </w:rPr>
          <w:t>82.1(1)</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82.1(5)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w:t>
      </w:r>
      <w:r>
        <w:rPr>
          <w:rFonts w:ascii="Times New Roman" w:hAnsi="Times New Roman"/>
          <w:b w:val="false"/>
          <w:i w:val="false"/>
          <w:color w:val="000000"/>
          <w:sz w:val="22"/>
        </w:rPr>
        <w:t> </w:t>
      </w:r>
      <w:r>
        <w:rPr>
          <w:rFonts w:ascii="Times New Roman" w:hAnsi="Times New Roman"/>
          <w:b w:val="false"/>
          <w:i/>
          <w:color w:val="000000"/>
          <w:sz w:val="22"/>
        </w:rPr>
        <w:t xml:space="preserve">Invitation for bids. </w:t>
      </w:r>
      <w:r>
        <w:rPr>
          <w:rFonts w:ascii="Times New Roman" w:hAnsi="Times New Roman"/>
          <w:b w:val="false"/>
          <w:i w:val="false"/>
          <w:color w:val="000000"/>
          <w:sz w:val="22"/>
        </w:rPr>
        <w:t>Sealed bids must be solicited for all fish removal operations under contract. Prospective bidders shall be informed by an advertisement via the state’s public solicitation portal in sufficient time to enable prospective bidders to prepare and submit bids. Specifications of the contract shall be provided to all prospective bidders as provided in the invitation for bids.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w:t>
      </w:r>
      <w:r>
        <w:rPr>
          <w:rFonts w:ascii="Times New Roman" w:hAnsi="Times New Roman"/>
          <w:b w:val="false"/>
          <w:i w:val="false"/>
          <w:color w:val="000000"/>
          <w:sz w:val="22"/>
        </w:rPr>
        <w:t> </w:t>
      </w:r>
      <w:r>
        <w:rPr>
          <w:rFonts w:ascii="Times New Roman" w:hAnsi="Times New Roman"/>
          <w:b w:val="false"/>
          <w:i/>
          <w:color w:val="000000"/>
          <w:sz w:val="22"/>
        </w:rPr>
        <w:t xml:space="preserve">Contract award. </w:t>
      </w:r>
      <w:r>
        <w:rPr>
          <w:rFonts w:ascii="Times New Roman" w:hAnsi="Times New Roman"/>
          <w:b w:val="false"/>
          <w:i w:val="false"/>
          <w:color w:val="000000"/>
          <w:sz w:val="22"/>
        </w:rPr>
        <w:t>The contract shall be awarded to the firm or individual whose bid is believed to be the most advantageous to the state. Bids may be rejected if they do not appear to be reasonable or if there is reason to believe that the firm or individual is not sufficiently qualified to accomplish the desired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w:t>
      </w:r>
      <w:r>
        <w:rPr>
          <w:rFonts w:ascii="Times New Roman" w:hAnsi="Times New Roman"/>
          <w:b w:val="false"/>
          <w:i w:val="false"/>
          <w:color w:val="000000"/>
          <w:sz w:val="22"/>
        </w:rPr>
        <w:t> </w:t>
      </w:r>
      <w:r>
        <w:rPr>
          <w:rFonts w:ascii="Times New Roman" w:hAnsi="Times New Roman"/>
          <w:b w:val="false"/>
          <w:i/>
          <w:color w:val="000000"/>
          <w:sz w:val="22"/>
        </w:rPr>
        <w:t xml:space="preserve">Contract approval. </w:t>
      </w:r>
      <w:r>
        <w:rPr>
          <w:rFonts w:ascii="Times New Roman" w:hAnsi="Times New Roman"/>
          <w:b w:val="false"/>
          <w:i w:val="false"/>
          <w:color w:val="000000"/>
          <w:sz w:val="22"/>
        </w:rPr>
        <w:t>All contracts for fish removal operations shall be approved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82.1(4)</w:t>
      </w:r>
      <w:r>
        <w:rPr>
          <w:rFonts w:ascii="Times New Roman" w:hAnsi="Times New Roman"/>
          <w:b w:val="false"/>
          <w:i w:val="false"/>
          <w:color w:val="000000"/>
          <w:sz w:val="22"/>
        </w:rPr>
        <w:t> </w:t>
      </w:r>
      <w:r>
        <w:rPr>
          <w:rFonts w:ascii="Times New Roman" w:hAnsi="Times New Roman"/>
          <w:b w:val="false"/>
          <w:i/>
          <w:color w:val="000000"/>
          <w:sz w:val="22"/>
        </w:rPr>
        <w:t xml:space="preserve">Failure to receive a bid. </w:t>
      </w:r>
      <w:r>
        <w:rPr>
          <w:rFonts w:ascii="Times New Roman" w:hAnsi="Times New Roman"/>
          <w:b w:val="false"/>
          <w:i w:val="false"/>
          <w:color w:val="000000"/>
          <w:sz w:val="22"/>
        </w:rPr>
        <w:t>In the event that no sealed bids are received, the fisheries bureau chief or staff at the direction of the fisheries bureau chief may negotiate a contract with a qualified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82.1(5)</w:t>
      </w:r>
      <w:r>
        <w:rPr>
          <w:rFonts w:ascii="Times New Roman" w:hAnsi="Times New Roman"/>
          <w:b w:val="false"/>
          <w:i w:val="false"/>
          <w:color w:val="000000"/>
          <w:sz w:val="22"/>
        </w:rPr>
        <w:t> </w:t>
      </w:r>
      <w:r>
        <w:rPr>
          <w:rFonts w:ascii="Times New Roman" w:hAnsi="Times New Roman"/>
          <w:b w:val="false"/>
          <w:i/>
          <w:color w:val="000000"/>
          <w:sz w:val="22"/>
        </w:rPr>
        <w:t xml:space="preserve">Contract period. </w:t>
      </w:r>
      <w:r>
        <w:rPr>
          <w:rFonts w:ascii="Times New Roman" w:hAnsi="Times New Roman"/>
          <w:b w:val="false"/>
          <w:i w:val="false"/>
          <w:color w:val="000000"/>
          <w:sz w:val="22"/>
        </w:rPr>
        <w:t>Contracts shall have a maximum duration of 12 months. A contract may be extended, with the mutual consent of both parties, on an annual basis for a period up to and including three years from the time of the original contract. All terms and conditions existing in the original contract will apply during the extended contract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0272D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MISSISSIPPI AND MISSOURI RIVERS</w:t>
      </w:r>
    </w:p>
    <w:p>
      <w:pPr>
        <w:spacing w:before="0" w:after="0"/>
        <w:ind w:left="120"/>
        <w:jc w:val="both"/>
      </w:pPr>
      <w:r>
        <w:rPr>
          <w:rFonts w:ascii="Times New Roman" w:hAnsi="Times New Roman"/>
          <w:b/>
          <w:i w:val="false"/>
          <w:color w:val="000000"/>
          <w:sz w:val="22"/>
        </w:rPr>
        <w:t>571—82.2</w:t>
      </w:r>
      <w:r>
        <w:rPr>
          <w:rFonts w:ascii="Times New Roman" w:hAnsi="Times New Roman"/>
          <w:b/>
          <w:i w:val="false"/>
          <w:color w:val="000000"/>
          <w:sz w:val="22"/>
        </w:rPr>
        <w:t xml:space="preserve">(482) </w:t>
      </w:r>
      <w:r>
        <w:rPr>
          <w:rFonts w:ascii="Times New Roman" w:hAnsi="Times New Roman"/>
          <w:b/>
          <w:i w:val="false"/>
          <w:color w:val="000000"/>
          <w:sz w:val="22"/>
        </w:rPr>
        <w:t xml:space="preserve">Commercial taking. </w:t>
      </w:r>
      <w:r>
        <w:rPr>
          <w:rFonts w:ascii="Times New Roman" w:hAnsi="Times New Roman"/>
          <w:b w:val="false"/>
          <w:i w:val="false"/>
          <w:color w:val="000000"/>
          <w:sz w:val="22"/>
        </w:rPr>
        <w:t>Fish may be taken for commercial purposes from the Mississippi and Missouri Rivers subject to the following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82.2(1)</w:t>
      </w:r>
      <w:r>
        <w:rPr>
          <w:rFonts w:ascii="Times New Roman" w:hAnsi="Times New Roman"/>
          <w:b w:val="false"/>
          <w:i w:val="false"/>
          <w:color w:val="000000"/>
          <w:sz w:val="22"/>
        </w:rPr>
        <w:t> </w:t>
      </w:r>
      <w:r>
        <w:rPr>
          <w:rFonts w:ascii="Times New Roman" w:hAnsi="Times New Roman"/>
          <w:b w:val="false"/>
          <w:i/>
          <w:color w:val="000000"/>
          <w:sz w:val="22"/>
        </w:rPr>
        <w:t xml:space="preserve">Permissive catch. </w:t>
      </w:r>
      <w:r>
        <w:rPr>
          <w:rFonts w:ascii="Times New Roman" w:hAnsi="Times New Roman"/>
          <w:b w:val="false"/>
          <w:i w:val="false"/>
          <w:color w:val="000000"/>
          <w:sz w:val="22"/>
        </w:rPr>
        <w:t>Except for channel catfish, flathead catfish, and shovelnose sturgeon, which cannot be taken from the Missouri River, it shall be lawful to take with licensed commercial fishing gear the following species: carp, smallmouth buffalo, largemouth buffalo, black buffalo, channel catfish, flathead catfish, black bullhead, yellow bullhead, brown bullhead, freshwater drum, northern redhorse, silver redhorse, spotted sucker, white sucker, river carpsucker, quillback, highfin carpsucker, grass carp, bighead carp, silver carp, shovelnose sturgeon, longnose gar, shortnose gar, bowfin, gizzard shad, goldeye, and mooneye.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82.2(2)</w:t>
      </w:r>
      <w:r>
        <w:rPr>
          <w:rFonts w:ascii="Times New Roman" w:hAnsi="Times New Roman"/>
          <w:b w:val="false"/>
          <w:i w:val="false"/>
          <w:color w:val="000000"/>
          <w:sz w:val="22"/>
        </w:rPr>
        <w:t> </w:t>
      </w:r>
      <w:r>
        <w:rPr>
          <w:rFonts w:ascii="Times New Roman" w:hAnsi="Times New Roman"/>
          <w:b w:val="false"/>
          <w:i/>
          <w:color w:val="000000"/>
          <w:sz w:val="22"/>
        </w:rPr>
        <w:t xml:space="preserve">Size limits. </w:t>
      </w:r>
      <w:r>
        <w:rPr>
          <w:rFonts w:ascii="Times New Roman" w:hAnsi="Times New Roman"/>
          <w:b w:val="false"/>
          <w:i w:val="false"/>
          <w:color w:val="000000"/>
          <w:sz w:val="22"/>
        </w:rPr>
        <w:t>Fish shorter than a minimum length or longer than the maximum length shall be returned to the water unharmed. The minimum total length for all catfish is 15 inches. The minimum fork length for shovelnose sturgeon, measured from the tip of the snout to the fork of the tail, is 27 inches. No shovelnose sturgeon longer than 34 inches fork length may be harvested from waters of the Mississippi River bordering Wisconsin. No shovelnose sturgeon less than 27 inches fork length may be possessed in Iowa waters.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82.2(3)</w:t>
      </w:r>
      <w:r>
        <w:rPr>
          <w:rFonts w:ascii="Times New Roman" w:hAnsi="Times New Roman"/>
          <w:b w:val="false"/>
          <w:i w:val="false"/>
          <w:color w:val="000000"/>
          <w:sz w:val="22"/>
        </w:rPr>
        <w:t> </w:t>
      </w:r>
      <w:r>
        <w:rPr>
          <w:rFonts w:ascii="Times New Roman" w:hAnsi="Times New Roman"/>
          <w:b w:val="false"/>
          <w:i/>
          <w:color w:val="000000"/>
          <w:sz w:val="22"/>
        </w:rPr>
        <w:t xml:space="preserve">Permitted gear. </w:t>
      </w:r>
      <w:r>
        <w:rPr>
          <w:rFonts w:ascii="Times New Roman" w:hAnsi="Times New Roman"/>
          <w:b w:val="false"/>
          <w:i w:val="false"/>
          <w:color w:val="000000"/>
          <w:sz w:val="22"/>
        </w:rPr>
        <w:t>Hoop nets, trap nets (fyke nets), gill nets, trammel nets, slat nets (basket traps), seines, and trotlines (setlines) may be used by licensed commercial fishers.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82.2(4)</w:t>
      </w:r>
      <w:r>
        <w:rPr>
          <w:rFonts w:ascii="Times New Roman" w:hAnsi="Times New Roman"/>
          <w:b w:val="false"/>
          <w:i w:val="false"/>
          <w:color w:val="000000"/>
          <w:sz w:val="22"/>
        </w:rPr>
        <w:t> </w:t>
      </w:r>
      <w:r>
        <w:rPr>
          <w:rFonts w:ascii="Times New Roman" w:hAnsi="Times New Roman"/>
          <w:b w:val="false"/>
          <w:i/>
          <w:color w:val="000000"/>
          <w:sz w:val="22"/>
        </w:rPr>
        <w:t xml:space="preserve">Mesh size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Hoop nets. </w:t>
      </w:r>
      <w:r>
        <w:rPr>
          <w:rFonts w:ascii="Times New Roman" w:hAnsi="Times New Roman"/>
          <w:b w:val="false"/>
          <w:i w:val="false"/>
          <w:color w:val="000000"/>
          <w:sz w:val="22"/>
        </w:rPr>
        <w:t>An escape hole with a minimum diameter of 1½ inches all directions shall be provided within 12 inches beyond the last hoop to the tail-line.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Trap nets. </w:t>
      </w:r>
      <w:r>
        <w:rPr>
          <w:rFonts w:ascii="Times New Roman" w:hAnsi="Times New Roman"/>
          <w:b w:val="false"/>
          <w:i w:val="false"/>
          <w:color w:val="000000"/>
          <w:sz w:val="22"/>
        </w:rPr>
        <w:t>An escape hole with a minimum diameter of 1½ inches all directions shall be provided within 12 inches beyond the last hoop to the tail-line.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Gill nets. </w:t>
      </w:r>
      <w:r>
        <w:rPr>
          <w:rFonts w:ascii="Times New Roman" w:hAnsi="Times New Roman"/>
          <w:b w:val="false"/>
          <w:i w:val="false"/>
          <w:color w:val="000000"/>
          <w:sz w:val="22"/>
        </w:rPr>
        <w:t>The webbing shall have a mesh size not less than 3½ inches square measure.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Trammel nets. </w:t>
      </w:r>
      <w:r>
        <w:rPr>
          <w:rFonts w:ascii="Times New Roman" w:hAnsi="Times New Roman"/>
          <w:b w:val="false"/>
          <w:i w:val="false"/>
          <w:color w:val="000000"/>
          <w:sz w:val="22"/>
        </w:rPr>
        <w:t>The webbing shall have a mesh size not less than 2 inches square measure.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Seines. </w:t>
      </w:r>
      <w:r>
        <w:rPr>
          <w:rFonts w:ascii="Times New Roman" w:hAnsi="Times New Roman"/>
          <w:b w:val="false"/>
          <w:i w:val="false"/>
          <w:color w:val="000000"/>
          <w:sz w:val="22"/>
        </w:rPr>
        <w:t>There are no mesh size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Slat nets. </w:t>
      </w:r>
      <w:r>
        <w:rPr>
          <w:rFonts w:ascii="Times New Roman" w:hAnsi="Times New Roman"/>
          <w:b w:val="false"/>
          <w:i w:val="false"/>
          <w:color w:val="000000"/>
          <w:sz w:val="22"/>
        </w:rPr>
        <w:t>An escape hole with a minimum diameter of 1½ inches all directions shall be provided in the end opposite the throat.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82.2(5)</w:t>
      </w:r>
      <w:r>
        <w:rPr>
          <w:rFonts w:ascii="Times New Roman" w:hAnsi="Times New Roman"/>
          <w:b w:val="false"/>
          <w:i w:val="false"/>
          <w:color w:val="000000"/>
          <w:sz w:val="22"/>
        </w:rPr>
        <w:t> </w:t>
      </w:r>
      <w:r>
        <w:rPr>
          <w:rFonts w:ascii="Times New Roman" w:hAnsi="Times New Roman"/>
          <w:b w:val="false"/>
          <w:i/>
          <w:color w:val="000000"/>
          <w:sz w:val="22"/>
        </w:rPr>
        <w:t xml:space="preserve">Gear attendance. </w:t>
      </w:r>
      <w:r>
        <w:rPr>
          <w:rFonts w:ascii="Times New Roman" w:hAnsi="Times New Roman"/>
          <w:b w:val="false"/>
          <w:i w:val="false"/>
          <w:color w:val="000000"/>
          <w:sz w:val="22"/>
        </w:rPr>
        <w:t>All commercial gear shall be lifted and emptied of catch at the following time intervals, except during periods of inclement weather. Inclement weather is defined as that threatening to life, health, or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Hoop nets shall be attended at least once every 96 hours and slat nets at least once every 48 hours during open water conditions. Hoop nets shall be attended at least once every 20 days during ice cover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Trap nets and trotlines shall be attended at least once every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Gill nets and trammel nets shall be attended at least once every 24 hours during open water conditions and at least once every 96 hours during ice cover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82.2(6)</w:t>
      </w:r>
      <w:r>
        <w:rPr>
          <w:rFonts w:ascii="Times New Roman" w:hAnsi="Times New Roman"/>
          <w:b w:val="false"/>
          <w:i w:val="false"/>
          <w:color w:val="000000"/>
          <w:sz w:val="22"/>
        </w:rPr>
        <w:t> </w:t>
      </w:r>
      <w:r>
        <w:rPr>
          <w:rFonts w:ascii="Times New Roman" w:hAnsi="Times New Roman"/>
          <w:b w:val="false"/>
          <w:i/>
          <w:color w:val="000000"/>
          <w:sz w:val="22"/>
        </w:rPr>
        <w:t xml:space="preserve">Report of catch. </w:t>
      </w:r>
      <w:r>
        <w:rPr>
          <w:rFonts w:ascii="Times New Roman" w:hAnsi="Times New Roman"/>
          <w:b w:val="false"/>
          <w:i w:val="false"/>
          <w:color w:val="000000"/>
          <w:sz w:val="22"/>
        </w:rPr>
        <w:t xml:space="preserve">Licensed commercial fishers must comply with the reporting requirements as set forth in Iowa Code section </w:t>
      </w:r>
      <w:hyperlink r:id="rId7">
        <w:r>
          <w:rPr>
            <w:rStyle w:val="Hyperlink"/>
            <w:rFonts w:ascii="Times New Roman" w:hAnsi="Times New Roman"/>
            <w:b w:val="false"/>
            <w:i w:val="false"/>
            <w:color w:val="000000"/>
            <w:sz w:val="22"/>
          </w:rPr>
          <w:t>482.14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82.2(7)</w:t>
      </w:r>
      <w:r>
        <w:rPr>
          <w:rFonts w:ascii="Times New Roman" w:hAnsi="Times New Roman"/>
          <w:b w:val="false"/>
          <w:i w:val="false"/>
          <w:color w:val="000000"/>
          <w:sz w:val="22"/>
        </w:rPr>
        <w:t> </w:t>
      </w:r>
      <w:r>
        <w:rPr>
          <w:rFonts w:ascii="Times New Roman" w:hAnsi="Times New Roman"/>
          <w:b w:val="false"/>
          <w:i/>
          <w:color w:val="000000"/>
          <w:sz w:val="22"/>
        </w:rPr>
        <w:t xml:space="preserve">Duplicate operator’s license. </w:t>
      </w:r>
      <w:r>
        <w:rPr>
          <w:rFonts w:ascii="Times New Roman" w:hAnsi="Times New Roman"/>
          <w:b w:val="false"/>
          <w:i w:val="false"/>
          <w:color w:val="000000"/>
          <w:sz w:val="22"/>
        </w:rPr>
        <w:t>An owner making a request for a duplicate operator’s license will be issued one only after records show the owner has purchased a limit of five operator’s licenses. The duplicate helper’s license will be issued to one individual and is not transferable. The issuing fee is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82.2(8)</w:t>
      </w:r>
      <w:r>
        <w:rPr>
          <w:rFonts w:ascii="Times New Roman" w:hAnsi="Times New Roman"/>
          <w:b w:val="false"/>
          <w:i w:val="false"/>
          <w:color w:val="000000"/>
          <w:sz w:val="22"/>
        </w:rPr>
        <w:t> </w:t>
      </w:r>
      <w:r>
        <w:rPr>
          <w:rFonts w:ascii="Times New Roman" w:hAnsi="Times New Roman"/>
          <w:b w:val="false"/>
          <w:i/>
          <w:color w:val="000000"/>
          <w:sz w:val="22"/>
        </w:rPr>
        <w:t xml:space="preserve">Seasons. </w:t>
      </w:r>
      <w:r>
        <w:rPr>
          <w:rFonts w:ascii="Times New Roman" w:hAnsi="Times New Roman"/>
          <w:b w:val="false"/>
          <w:i w:val="false"/>
          <w:color w:val="000000"/>
          <w:sz w:val="22"/>
        </w:rPr>
        <w:t xml:space="preserve">There is a continuous open season for commercial fishing of all species listed in </w:t>
      </w:r>
      <w:hyperlink r:id="rId8">
        <w:r>
          <w:rPr>
            <w:rStyle w:val="Hyperlink"/>
            <w:rFonts w:ascii="Times New Roman" w:hAnsi="Times New Roman"/>
            <w:b w:val="false"/>
            <w:i w:val="false"/>
            <w:color w:val="000000"/>
            <w:sz w:val="22"/>
          </w:rPr>
          <w:t>82.2(1)</w:t>
        </w:r>
      </w:hyperlink>
      <w:r>
        <w:rPr>
          <w:rFonts w:ascii="Times New Roman" w:hAnsi="Times New Roman"/>
          <w:b w:val="false"/>
          <w:i w:val="false"/>
          <w:color w:val="000000"/>
          <w:sz w:val="22"/>
        </w:rPr>
        <w:t>, except there is a closed season for shovelnose sturgeon from May 16 through October 14. No shovelnose sturgeon may be harvested from gear set prior to midnight on October 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82.2(9)</w:t>
      </w:r>
      <w:r>
        <w:rPr>
          <w:rFonts w:ascii="Times New Roman" w:hAnsi="Times New Roman"/>
          <w:b w:val="false"/>
          <w:i w:val="false"/>
          <w:color w:val="000000"/>
          <w:sz w:val="22"/>
        </w:rPr>
        <w:t> </w:t>
      </w:r>
      <w:r>
        <w:rPr>
          <w:rFonts w:ascii="Times New Roman" w:hAnsi="Times New Roman"/>
          <w:b w:val="false"/>
          <w:i/>
          <w:color w:val="000000"/>
          <w:sz w:val="22"/>
        </w:rPr>
        <w:t xml:space="preserve">Special shovelnose and bowfin regulations. </w:t>
      </w:r>
      <w:r>
        <w:rPr>
          <w:rFonts w:ascii="Times New Roman" w:hAnsi="Times New Roman"/>
          <w:b w:val="false"/>
          <w:i w:val="false"/>
          <w:color w:val="000000"/>
          <w:sz w:val="22"/>
        </w:rPr>
        <w:t>Shovelnose sturgeon and bowfin must remain intact until the fish reach the final processing facility or business. For the purposes of this subrule, a final processing facility does not include vessels or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82.2(10)</w:t>
      </w:r>
      <w:r>
        <w:rPr>
          <w:rFonts w:ascii="Times New Roman" w:hAnsi="Times New Roman"/>
          <w:b w:val="false"/>
          <w:i w:val="false"/>
          <w:color w:val="000000"/>
          <w:sz w:val="22"/>
        </w:rPr>
        <w:t> </w:t>
      </w:r>
      <w:r>
        <w:rPr>
          <w:rFonts w:ascii="Times New Roman" w:hAnsi="Times New Roman"/>
          <w:b w:val="false"/>
          <w:i/>
          <w:color w:val="000000"/>
          <w:sz w:val="22"/>
        </w:rPr>
        <w:t xml:space="preserve">Closed areas. </w:t>
      </w:r>
      <w:r>
        <w:rPr>
          <w:rFonts w:ascii="Times New Roman" w:hAnsi="Times New Roman"/>
          <w:b w:val="false"/>
          <w:i w:val="false"/>
          <w:color w:val="000000"/>
          <w:sz w:val="22"/>
        </w:rPr>
        <w:t xml:space="preserve">The use of entanglement gear, including gill and trammel nets, is prohibited from that area extending 600 feet downstream of the 900-foot existing closed areas (Iowa Code section </w:t>
      </w:r>
      <w:hyperlink r:id="rId9">
        <w:r>
          <w:rPr>
            <w:rStyle w:val="Hyperlink"/>
            <w:rFonts w:ascii="Times New Roman" w:hAnsi="Times New Roman"/>
            <w:b w:val="false"/>
            <w:i w:val="false"/>
            <w:color w:val="000000"/>
            <w:sz w:val="22"/>
          </w:rPr>
          <w:t>482.9(2)</w:t>
        </w:r>
      </w:hyperlink>
      <w:r>
        <w:rPr>
          <w:rFonts w:ascii="Times New Roman" w:hAnsi="Times New Roman"/>
          <w:b w:val="false"/>
          <w:i w:val="false"/>
          <w:color w:val="000000"/>
          <w:sz w:val="22"/>
        </w:rPr>
        <w:t>) located below each of the locks and dams on the Mississippi River. Shovelnose sturgeon caught in entanglement gear within 600 feet of the mouth of any stream or tributary shall be returned to the water unharmed.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0272D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482.1</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482.3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482.5</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482.14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8/29/75]</w:t>
      </w:r>
    </w:p>
    <w:p>
      <w:pPr>
        <w:spacing w:before="0" w:after="0"/>
        <w:ind w:left="120"/>
        <w:jc w:val="center"/>
      </w:pPr>
      <w:r>
        <w:rPr>
          <w:rFonts w:ascii="Times New Roman" w:hAnsi="Times New Roman"/>
          <w:b w:val="false"/>
          <w:i w:val="false"/>
          <w:color w:val="000000"/>
          <w:sz w:val="21"/>
        </w:rPr>
        <w:t>[Filed emergency 4/9/76—published 5/3/76, effective 4/9/76]</w:t>
      </w:r>
    </w:p>
    <w:p>
      <w:pPr>
        <w:spacing w:before="0" w:after="0"/>
        <w:ind w:left="120"/>
        <w:jc w:val="center"/>
      </w:pPr>
      <w:r>
        <w:rPr>
          <w:rFonts w:ascii="Times New Roman" w:hAnsi="Times New Roman"/>
          <w:b w:val="false"/>
          <w:i w:val="false"/>
          <w:color w:val="000000"/>
          <w:sz w:val="21"/>
        </w:rPr>
        <w:t>[Filed emergency 7/9/76—published 7/26/76, effective 7/9/76]</w:t>
      </w:r>
    </w:p>
    <w:p>
      <w:pPr>
        <w:spacing w:before="0" w:after="0"/>
        <w:ind w:left="120"/>
        <w:jc w:val="center"/>
      </w:pPr>
      <w:r>
        <w:rPr>
          <w:rFonts w:ascii="Times New Roman" w:hAnsi="Times New Roman"/>
          <w:b w:val="false"/>
          <w:i w:val="false"/>
          <w:color w:val="000000"/>
          <w:sz w:val="21"/>
        </w:rPr>
        <w:t>[Filed 2/1/77, Notice 12/15/76—published 2/23/77, effective 3/30/77]</w:t>
      </w:r>
    </w:p>
    <w:p>
      <w:pPr>
        <w:spacing w:before="0" w:after="0"/>
        <w:ind w:left="120"/>
        <w:jc w:val="center"/>
      </w:pPr>
      <w:r>
        <w:rPr>
          <w:rFonts w:ascii="Times New Roman" w:hAnsi="Times New Roman"/>
          <w:b w:val="false"/>
          <w:i w:val="false"/>
          <w:color w:val="000000"/>
          <w:sz w:val="21"/>
        </w:rPr>
        <w:t>[Filed emergency 1/13/78—published 2/8/78, effective 1/13/78]</w:t>
      </w:r>
    </w:p>
    <w:p>
      <w:pPr>
        <w:spacing w:before="0" w:after="0"/>
        <w:ind w:left="120"/>
        <w:jc w:val="center"/>
      </w:pPr>
      <w:r>
        <w:rPr>
          <w:rFonts w:ascii="Times New Roman" w:hAnsi="Times New Roman"/>
          <w:b w:val="false"/>
          <w:i w:val="false"/>
          <w:color w:val="000000"/>
          <w:sz w:val="21"/>
        </w:rPr>
        <w:t>[Filed 3/15/78, Notice 2/8/78—published 4/5/78, effective 5/10/78]</w:t>
      </w:r>
    </w:p>
    <w:p>
      <w:pPr>
        <w:spacing w:before="0" w:after="0"/>
        <w:ind w:left="120"/>
        <w:jc w:val="center"/>
      </w:pPr>
      <w:r>
        <w:rPr>
          <w:rFonts w:ascii="Times New Roman" w:hAnsi="Times New Roman"/>
          <w:b w:val="false"/>
          <w:i w:val="false"/>
          <w:color w:val="000000"/>
          <w:sz w:val="21"/>
        </w:rPr>
        <w:t>[Filed 8/30/78, Notice 7/26/78—published 9/20/78, effective 10/25/78]</w:t>
      </w:r>
    </w:p>
    <w:p>
      <w:pPr>
        <w:spacing w:before="0" w:after="0"/>
        <w:ind w:left="120"/>
        <w:jc w:val="center"/>
      </w:pPr>
      <w:r>
        <w:rPr>
          <w:rFonts w:ascii="Times New Roman" w:hAnsi="Times New Roman"/>
          <w:b w:val="false"/>
          <w:i w:val="false"/>
          <w:color w:val="000000"/>
          <w:sz w:val="21"/>
        </w:rPr>
        <w:t>[Filed emergency 11/7/78, Notice 7/26/78—published 11/29/78, effective 11/7/78]</w:t>
      </w:r>
    </w:p>
    <w:p>
      <w:pPr>
        <w:spacing w:before="0" w:after="0"/>
        <w:ind w:left="120"/>
        <w:jc w:val="center"/>
      </w:pPr>
      <w:r>
        <w:rPr>
          <w:rFonts w:ascii="Times New Roman" w:hAnsi="Times New Roman"/>
          <w:b w:val="false"/>
          <w:i w:val="false"/>
          <w:color w:val="000000"/>
          <w:sz w:val="21"/>
        </w:rPr>
        <w:t>[Filed 9/7/79, Notice 7/25/79—published 10/3/79, effective 11/7/79]</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11/4/83, Notice 9/28/83—published 11/23/83, effective 1/1/84]</w:t>
      </w:r>
    </w:p>
    <w:p>
      <w:pPr>
        <w:spacing w:before="0" w:after="0"/>
        <w:ind w:left="120"/>
        <w:jc w:val="center"/>
      </w:pPr>
      <w:r>
        <w:rPr>
          <w:rFonts w:ascii="Times New Roman" w:hAnsi="Times New Roman"/>
          <w:b w:val="false"/>
          <w:i w:val="false"/>
          <w:color w:val="000000"/>
          <w:sz w:val="21"/>
        </w:rPr>
        <w:t>[Filed 10/4/85, Notice 7/31/85—published 10/23/85, effective 1/1/86]</w:t>
      </w:r>
    </w:p>
    <w:p>
      <w:pPr>
        <w:spacing w:before="0" w:after="0"/>
        <w:ind w:left="120"/>
        <w:jc w:val="center"/>
      </w:pPr>
      <w:r>
        <w:rPr>
          <w:rFonts w:ascii="Times New Roman" w:hAnsi="Times New Roman"/>
          <w:b w:val="false"/>
          <w:i w:val="false"/>
          <w:color w:val="000000"/>
          <w:sz w:val="21"/>
        </w:rPr>
        <w:t>[Filed emergency 7/10/86—published 7/30/86, effective 7/10/86]</w:t>
      </w:r>
    </w:p>
    <w:p>
      <w:pPr>
        <w:spacing w:before="0" w:after="0"/>
        <w:ind w:left="120"/>
        <w:jc w:val="center"/>
      </w:pPr>
      <w:r>
        <w:rPr>
          <w:rFonts w:ascii="Times New Roman" w:hAnsi="Times New Roman"/>
          <w:b w:val="false"/>
          <w:i w:val="false"/>
          <w:color w:val="000000"/>
          <w:sz w:val="21"/>
        </w:rPr>
        <w:t>[Filed 10/17/86, Notice 8/27/86—published 11/5/86, effective 1/1/87]</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1/12/88, Notice 11/4/87—published 2/10/88, effective 3/16/88]</w:t>
      </w:r>
    </w:p>
    <w:p>
      <w:pPr>
        <w:spacing w:before="0" w:after="0"/>
        <w:ind w:left="120"/>
        <w:jc w:val="center"/>
      </w:pPr>
      <w:r>
        <w:rPr>
          <w:rFonts w:ascii="Times New Roman" w:hAnsi="Times New Roman"/>
          <w:b w:val="false"/>
          <w:i w:val="false"/>
          <w:color w:val="000000"/>
          <w:sz w:val="21"/>
        </w:rPr>
        <w:t>[Filed 1/18/91, Notice 10/3/90—published 2/6/91, effective 1/1/92]</w:t>
      </w:r>
    </w:p>
    <w:p>
      <w:pPr>
        <w:spacing w:before="0" w:after="0"/>
        <w:ind w:left="120"/>
        <w:jc w:val="center"/>
      </w:pPr>
      <w:r>
        <w:rPr>
          <w:rFonts w:ascii="Times New Roman" w:hAnsi="Times New Roman"/>
          <w:b w:val="false"/>
          <w:i w:val="false"/>
          <w:color w:val="000000"/>
          <w:sz w:val="21"/>
        </w:rPr>
        <w:t>[Filed 11/19/03, Notice 9/3/03—published 12/10/03, effective 1/14/04]</w:t>
      </w:r>
    </w:p>
    <w:p>
      <w:pPr>
        <w:spacing w:before="0" w:after="0"/>
        <w:ind w:left="120"/>
        <w:jc w:val="center"/>
      </w:pPr>
      <w:r>
        <w:rPr>
          <w:rFonts w:ascii="Times New Roman" w:hAnsi="Times New Roman"/>
          <w:b w:val="false"/>
          <w:i w:val="false"/>
          <w:color w:val="000000"/>
          <w:sz w:val="21"/>
        </w:rPr>
        <w:t>[Filed 5/17/06, Notice 3/1/06—published 6/7/06, effective 7/12/06]</w:t>
      </w:r>
    </w:p>
    <w:p>
      <w:pPr>
        <w:spacing w:before="0" w:after="0"/>
        <w:ind w:left="120"/>
        <w:jc w:val="center"/>
      </w:pPr>
      <w:r>
        <w:rPr>
          <w:rFonts w:ascii="Times New Roman" w:hAnsi="Times New Roman"/>
          <w:b w:val="false"/>
          <w:i w:val="false"/>
          <w:color w:val="000000"/>
          <w:sz w:val="21"/>
        </w:rPr>
        <w:t>[Filed 8/10/07, Notice 6/20/07—published 8/29/07, effective 10/3/07]</w:t>
      </w:r>
    </w:p>
    <w:p>
      <w:pPr>
        <w:spacing w:before="0" w:after="0"/>
        <w:ind w:left="120"/>
        <w:jc w:val="center"/>
      </w:pPr>
      <w:r>
        <w:rPr>
          <w:rFonts w:ascii="Times New Roman" w:hAnsi="Times New Roman"/>
          <w:b w:val="false"/>
          <w:i w:val="false"/>
          <w:color w:val="000000"/>
          <w:sz w:val="21"/>
        </w:rPr>
        <w:t>[Filed ARC 0272D</w:t>
      </w:r>
      <w:r>
        <w:rPr>
          <w:rFonts w:ascii="Times New Roman" w:hAnsi="Times New Roman"/>
          <w:b w:val="false"/>
          <w:i w:val="false"/>
          <w:color w:val="000000"/>
          <w:sz w:val="21"/>
        </w:rPr>
        <w:t xml:space="preserve"> (Notice ARC 9914C, IAB 1/7/26)</w:t>
      </w:r>
      <w:r>
        <w:rPr>
          <w:rFonts w:ascii="Times New Roman" w:hAnsi="Times New Roman"/>
          <w:b w:val="false"/>
          <w:i w:val="false"/>
          <w:color w:val="000000"/>
          <w:sz w:val="21"/>
        </w:rPr>
        <w:t>, IAB 5/13/26, effective 6/17/26]</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71.82.1.pdf" Type="http://schemas.openxmlformats.org/officeDocument/2006/relationships/hyperlink" Id="rId5"/>
    <Relationship TargetMode="External" Target="https://www.legis.iowa.gov/docs/iac/rule/571.82.1.pdf" Type="http://schemas.openxmlformats.org/officeDocument/2006/relationships/hyperlink" Id="rId6"/>
    <Relationship TargetMode="External" Target="https://www.legis.iowa.gov/docs/ico/chapter/482.14.pdf" Type="http://schemas.openxmlformats.org/officeDocument/2006/relationships/hyperlink" Id="rId7"/>
    <Relationship TargetMode="External" Target="https://www.legis.iowa.gov/docs/iac/rule/571.82.2.pdf" Type="http://schemas.openxmlformats.org/officeDocument/2006/relationships/hyperlink" Id="rId8"/>
    <Relationship TargetMode="External" Target="https://www.legis.iowa.gov/docs/ico/chapter/482.9.pdf" Type="http://schemas.openxmlformats.org/officeDocument/2006/relationships/hyperlink" Id="rId9"/>
    <Relationship TargetMode="External" Target="https://www.legis.iowa.gov/docs/ico/chapter/481A.38.pdf" Type="http://schemas.openxmlformats.org/officeDocument/2006/relationships/hyperlink" Id="rId10"/>
    <Relationship TargetMode="External" Target="https://www.legis.iowa.gov/docs/ico/chapter/481A.39.pdf" Type="http://schemas.openxmlformats.org/officeDocument/2006/relationships/hyperlink" Id="rId11"/>
    <Relationship TargetMode="External" Target="https://www.legis.iowa.gov/docs/ico/chapter/482.1.pdf" Type="http://schemas.openxmlformats.org/officeDocument/2006/relationships/hyperlink" Id="rId12"/>
    <Relationship TargetMode="External" Target="https://www.legis.iowa.gov/docs/ico/chapter/482.3.pdf" Type="http://schemas.openxmlformats.org/officeDocument/2006/relationships/hyperlink" Id="rId13"/>
    <Relationship TargetMode="External" Target="https://www.legis.iowa.gov/docs/ico/chapter/482.5.pdf" Type="http://schemas.openxmlformats.org/officeDocument/2006/relationships/hyperlink" Id="rId14"/>
    <Relationship TargetMode="External" Target="https://www.legis.iowa.gov/docs/ico/chapter/482.14.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