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</w:p>
    <w:p>
      <w:pPr>
        <w:pBdr>
          <w:bottom w:space="3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16"/>
        </w:rPr>
        <w:t>SEASONS, LIMITS, METHODS OF TAKE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6"/>
        </w:rPr>
        <w:t>TITLE VIII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UNPROTECTED NONGAME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12/31/86, Conservation Commission[290] Ch 16]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6/17/31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571—76.1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(481A)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Species.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Certain species of nongame shall not be protected.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76.1(1)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Birds.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European starling (</w:t>
      </w:r>
      <w:r>
        <w:rPr>
          <w:rFonts w:ascii="Times New Roman" w:hAnsi="Times New Roman"/>
          <w:b w:val="false"/>
          <w:i/>
          <w:color w:val="000000"/>
          <w:sz w:val="22"/>
        </w:rPr>
        <w:t>Sturnus vulgaris</w:t>
      </w:r>
      <w:r>
        <w:rPr>
          <w:rFonts w:ascii="Times New Roman" w:hAnsi="Times New Roman"/>
          <w:b w:val="false"/>
          <w:i w:val="false"/>
          <w:color w:val="000000"/>
          <w:sz w:val="22"/>
        </w:rPr>
        <w:t>) and the house sparrow (</w:t>
      </w:r>
      <w:r>
        <w:rPr>
          <w:rFonts w:ascii="Times New Roman" w:hAnsi="Times New Roman"/>
          <w:b w:val="false"/>
          <w:i/>
          <w:color w:val="000000"/>
          <w:sz w:val="22"/>
        </w:rPr>
        <w:t>Passer domesticus</w:t>
      </w:r>
      <w:r>
        <w:rPr>
          <w:rFonts w:ascii="Times New Roman" w:hAnsi="Times New Roman"/>
          <w:b w:val="false"/>
          <w:i w:val="false"/>
          <w:color w:val="000000"/>
          <w:sz w:val="22"/>
        </w:rPr>
        <w:t>) shall not be protected.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76.1(2)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Reptiles.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Common garter snake (</w:t>
      </w:r>
      <w:r>
        <w:rPr>
          <w:rFonts w:ascii="Times New Roman" w:hAnsi="Times New Roman"/>
          <w:b w:val="false"/>
          <w:i/>
          <w:color w:val="000000"/>
          <w:sz w:val="22"/>
        </w:rPr>
        <w:t>Thamnophis sirtalis</w:t>
      </w:r>
      <w:r>
        <w:rPr>
          <w:rFonts w:ascii="Times New Roman" w:hAnsi="Times New Roman"/>
          <w:b w:val="false"/>
          <w:i w:val="false"/>
          <w:color w:val="000000"/>
          <w:sz w:val="22"/>
        </w:rPr>
        <w:t>).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Timber rattlesnake (</w:t>
      </w:r>
      <w:r>
        <w:rPr>
          <w:rFonts w:ascii="Times New Roman" w:hAnsi="Times New Roman"/>
          <w:b w:val="false"/>
          <w:i/>
          <w:color w:val="000000"/>
          <w:sz w:val="22"/>
        </w:rPr>
        <w:t>Crotalus horridus</w:t>
      </w:r>
      <w:r>
        <w:rPr>
          <w:rFonts w:ascii="Times New Roman" w:hAnsi="Times New Roman"/>
          <w:b w:val="false"/>
          <w:i w:val="false"/>
          <w:color w:val="000000"/>
          <w:sz w:val="22"/>
        </w:rPr>
        <w:t>) within 50 yards of houses actively occupied by humans.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sections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481A.38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481A.39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and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481A.42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0266D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5/13/26, effective 6/17/26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1/5/84, Notice 11/23/83—published 2/1/84, effective 3/7/84]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10/17/86, Notice 8/27/86—published 11/5/86, effective 1/1/87]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without Notice 12/12/86—published 12/31/86, effective 2/4/87]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8/18/00, Notice 5/31/00—published 9/6/00, effective 10/11/00</w:t>
      </w:r>
      <w:r>
        <w:rPr>
          <w:rFonts w:ascii="Times New Roman" w:hAnsi="Times New Roman"/>
          <w:b w:val="false"/>
          <w:i w:val="false"/>
          <w:color w:val="000000"/>
          <w:sz w:val="10"/>
        </w:rPr>
        <w:t>1</w:t>
      </w:r>
      <w:r>
        <w:rPr>
          <w:rFonts w:ascii="Times New Roman" w:hAnsi="Times New Roman"/>
          <w:b w:val="false"/>
          <w:i w:val="false"/>
          <w:color w:val="000000"/>
          <w:sz w:val="21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6/21/01, Notice 5/2/01—published 7/11/01, effective 8/15/01]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0266D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9900C, IAB 1/7/26)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5/13/26, effective 6/17/26]</w:t>
      </w:r>
    </w:p>
    <w:p>
      <w:pPr>
        <w:pBdr>
          <w:bottom w:space="2"/>
        </w:pBd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At its meeting held October 9, 2000, the Administrative Rules Review Committee delayed the effective date of the rescission of 76.1(2) from 10/11/00 until adjournment of the 2001 Session of the General Assembly.</w:t>
      </w:r>
    </w:p>
    <w:sectPr>
      <w:footerReference r:id="rId8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co/chapter/481A.38.pdf" Type="http://schemas.openxmlformats.org/officeDocument/2006/relationships/hyperlink" Id="rId5"/>
    <Relationship TargetMode="External" Target="https://www.legis.iowa.gov/docs/ico/chapter/481A.39.pdf" Type="http://schemas.openxmlformats.org/officeDocument/2006/relationships/hyperlink" Id="rId6"/>
    <Relationship TargetMode="External" Target="https://www.legis.iowa.gov/docs/ico/chapter/481A.42.pdf" Type="http://schemas.openxmlformats.org/officeDocument/2006/relationships/hyperlink" Id="rId7"/>
    <Relationship Target="footer.xml" Type="http://schemas.openxmlformats.org/officeDocument/2006/relationships/footer" Id="rId8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