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FOREST AND FRUIT-TREE RESERVATIONS</w:t>
      </w:r>
    </w:p>
    <w:p>
      <w:pPr>
        <w:spacing w:before="0" w:after="0"/>
        <w:ind w:left="120"/>
        <w:jc w:val="center"/>
      </w:pPr>
      <w:r>
        <w:rPr>
          <w:rFonts w:ascii="Times New Roman" w:hAnsi="Times New Roman"/>
          <w:b w:val="false"/>
          <w:i w:val="false"/>
          <w:color w:val="000000"/>
          <w:sz w:val="14"/>
        </w:rPr>
        <w:t>[Prior to 12/31/86, Conservation Commission[290] Ch 53]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571—73.1</w:t>
      </w:r>
      <w:r>
        <w:rPr>
          <w:rFonts w:ascii="Times New Roman" w:hAnsi="Times New Roman"/>
          <w:b/>
          <w:i w:val="false"/>
          <w:color w:val="000000"/>
          <w:sz w:val="22"/>
        </w:rPr>
        <w:t xml:space="preserve">(427C,456A) </w:t>
      </w:r>
      <w:r>
        <w:rPr>
          <w:rFonts w:ascii="Times New Roman" w:hAnsi="Times New Roman"/>
          <w:b/>
          <w:i w:val="false"/>
          <w:color w:val="000000"/>
          <w:sz w:val="22"/>
        </w:rPr>
        <w:t xml:space="preserve">Criteria for establishing and maintaining forest and fruit-tree reservations.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The selection of a forest or fruit-tree reservation is the prerogative of the taxpayer and shall not be denied unless the criteria set forth in Iowa Code chapter </w:t>
      </w:r>
      <w:hyperlink r:id="rId5">
        <w:r>
          <w:rPr>
            <w:rStyle w:val="Hyperlink"/>
            <w:rFonts w:ascii="Times New Roman" w:hAnsi="Times New Roman"/>
            <w:b w:val="false"/>
            <w:i w:val="false"/>
            <w:color w:val="000000"/>
            <w:sz w:val="22"/>
          </w:rPr>
          <w:t>427C</w:t>
        </w:r>
      </w:hyperlink>
      <w:r>
        <w:rPr>
          <w:rFonts w:ascii="Times New Roman" w:hAnsi="Times New Roman"/>
          <w:b w:val="false"/>
          <w:i w:val="false"/>
          <w:color w:val="000000"/>
          <w:sz w:val="22"/>
        </w:rPr>
        <w:t xml:space="preserve"> and these rules have not been satisfied.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color w:val="000000"/>
          <w:sz w:val="22"/>
        </w:rPr>
        <w:t xml:space="preserve">Area designated. </w:t>
      </w:r>
      <w:r>
        <w:rPr>
          <w:rFonts w:ascii="Times New Roman" w:hAnsi="Times New Roman"/>
          <w:b w:val="false"/>
          <w:i w:val="false"/>
          <w:color w:val="000000"/>
          <w:sz w:val="22"/>
        </w:rPr>
        <w:t xml:space="preserve">The area designated as a forest or fruit-tree reservation may be less than one legally described tract of land if the minimum acreage requirement of Iowa Code section </w:t>
      </w:r>
      <w:hyperlink r:id="rId6">
        <w:r>
          <w:rPr>
            <w:rStyle w:val="Hyperlink"/>
            <w:rFonts w:ascii="Times New Roman" w:hAnsi="Times New Roman"/>
            <w:b w:val="false"/>
            <w:i w:val="false"/>
            <w:color w:val="000000"/>
            <w:sz w:val="22"/>
          </w:rPr>
          <w:t>427C.2</w:t>
        </w:r>
      </w:hyperlink>
      <w:r>
        <w:rPr>
          <w:rFonts w:ascii="Times New Roman" w:hAnsi="Times New Roman"/>
          <w:b w:val="false"/>
          <w:i w:val="false"/>
          <w:color w:val="000000"/>
          <w:sz w:val="22"/>
        </w:rPr>
        <w:t xml:space="preserve">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color w:val="000000"/>
          <w:sz w:val="22"/>
        </w:rPr>
        <w:t xml:space="preserve">Size of reservation. </w:t>
      </w:r>
      <w:r>
        <w:rPr>
          <w:rFonts w:ascii="Times New Roman" w:hAnsi="Times New Roman"/>
          <w:b w:val="false"/>
          <w:i w:val="false"/>
          <w:color w:val="000000"/>
          <w:sz w:val="22"/>
        </w:rPr>
        <w:t xml:space="preserve">As used in Iowa Code section </w:t>
      </w:r>
      <w:hyperlink r:id="rId7">
        <w:r>
          <w:rPr>
            <w:rStyle w:val="Hyperlink"/>
            <w:rFonts w:ascii="Times New Roman" w:hAnsi="Times New Roman"/>
            <w:b w:val="false"/>
            <w:i w:val="false"/>
            <w:color w:val="000000"/>
            <w:sz w:val="22"/>
          </w:rPr>
          <w:t>427C.2</w:t>
        </w:r>
      </w:hyperlink>
      <w:r>
        <w:rPr>
          <w:rFonts w:ascii="Times New Roman" w:hAnsi="Times New Roman"/>
          <w:b w:val="false"/>
          <w:i w:val="false"/>
          <w:color w:val="000000"/>
          <w:sz w:val="22"/>
        </w:rPr>
        <w:t>, the term “continuous area” means an area of land that is not separated by public roads or streets. A continuous area may include land contained in more than one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color w:val="000000"/>
          <w:sz w:val="22"/>
        </w:rPr>
        <w:t xml:space="preserve">Fencing. </w:t>
      </w:r>
      <w:r>
        <w:rPr>
          <w:rFonts w:ascii="Times New Roman" w:hAnsi="Times New Roman"/>
          <w:b w:val="false"/>
          <w:i w:val="false"/>
          <w:color w:val="000000"/>
          <w:sz w:val="22"/>
        </w:rPr>
        <w:t>It is not mandatory that a forest or fruit-tree reservation be fenced. However, it is the taxpayer’s responsibility to ensure that livestock are not permitted on the reservation (1938 O.A.G. 198).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w:t>
      </w:r>
      <w:r>
        <w:rPr>
          <w:rFonts w:ascii="Times New Roman" w:hAnsi="Times New Roman"/>
          <w:b w:val="false"/>
          <w:i w:val="false"/>
          <w:color w:val="000000"/>
          <w:sz w:val="22"/>
        </w:rPr>
        <w:t> </w:t>
      </w:r>
      <w:r>
        <w:rPr>
          <w:rFonts w:ascii="Times New Roman" w:hAnsi="Times New Roman"/>
          <w:b w:val="false"/>
          <w:i/>
          <w:color w:val="000000"/>
          <w:sz w:val="22"/>
        </w:rPr>
        <w:t xml:space="preserve">Number of trees. </w:t>
      </w:r>
      <w:r>
        <w:rPr>
          <w:rFonts w:ascii="Times New Roman" w:hAnsi="Times New Roman"/>
          <w:b w:val="false"/>
          <w:i w:val="false"/>
          <w:color w:val="000000"/>
          <w:sz w:val="22"/>
        </w:rPr>
        <w:t xml:space="preserve">To qualify initially as a forest reservation, a tract of land must contain at least 200 growing trees on each acre. However, if trees are removed pursuant to Iowa Code section </w:t>
      </w:r>
      <w:hyperlink r:id="rId8">
        <w:r>
          <w:rPr>
            <w:rStyle w:val="Hyperlink"/>
            <w:rFonts w:ascii="Times New Roman" w:hAnsi="Times New Roman"/>
            <w:b w:val="false"/>
            <w:i w:val="false"/>
            <w:color w:val="000000"/>
            <w:sz w:val="22"/>
          </w:rPr>
          <w:t>427C.4</w:t>
        </w:r>
      </w:hyperlink>
      <w:r>
        <w:rPr>
          <w:rFonts w:ascii="Times New Roman" w:hAnsi="Times New Roman"/>
          <w:b w:val="false"/>
          <w:i w:val="false"/>
          <w:color w:val="000000"/>
          <w:sz w:val="22"/>
        </w:rPr>
        <w:t>, a taxpayer has up to one year to replace the trees.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w:t>
      </w:r>
      <w:r>
        <w:rPr>
          <w:rFonts w:ascii="Times New Roman" w:hAnsi="Times New Roman"/>
          <w:b w:val="false"/>
          <w:i w:val="false"/>
          <w:color w:val="000000"/>
          <w:sz w:val="22"/>
        </w:rPr>
        <w:t> </w:t>
      </w:r>
      <w:r>
        <w:rPr>
          <w:rFonts w:ascii="Times New Roman" w:hAnsi="Times New Roman"/>
          <w:b w:val="false"/>
          <w:i/>
          <w:color w:val="000000"/>
          <w:sz w:val="22"/>
        </w:rPr>
        <w:t xml:space="preserve">Economic gain. </w:t>
      </w:r>
      <w:r>
        <w:rPr>
          <w:rFonts w:ascii="Times New Roman" w:hAnsi="Times New Roman"/>
          <w:b w:val="false"/>
          <w:i w:val="false"/>
          <w:color w:val="000000"/>
          <w:sz w:val="22"/>
        </w:rPr>
        <w:t xml:space="preserve">As used in Iowa Code section </w:t>
      </w:r>
      <w:hyperlink r:id="rId9">
        <w:r>
          <w:rPr>
            <w:rStyle w:val="Hyperlink"/>
            <w:rFonts w:ascii="Times New Roman" w:hAnsi="Times New Roman"/>
            <w:b w:val="false"/>
            <w:i w:val="false"/>
            <w:color w:val="000000"/>
            <w:sz w:val="22"/>
          </w:rPr>
          <w:t>427C.10</w:t>
        </w:r>
      </w:hyperlink>
      <w:r>
        <w:rPr>
          <w:rFonts w:ascii="Times New Roman" w:hAnsi="Times New Roman"/>
          <w:b w:val="false"/>
          <w:i w:val="false"/>
          <w:color w:val="000000"/>
          <w:sz w:val="22"/>
        </w:rPr>
        <w:t>, the term “gain from raising fruit or forest trees” means gain from the harvest from trees, including but not limited to fruit, nuts, Christmas trees and greens, posts, poles, logs, fuelwood, pulpwood, and tree sap.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571—73.2</w:t>
      </w:r>
      <w:r>
        <w:rPr>
          <w:rFonts w:ascii="Times New Roman" w:hAnsi="Times New Roman"/>
          <w:b/>
          <w:i w:val="false"/>
          <w:color w:val="000000"/>
          <w:sz w:val="22"/>
        </w:rPr>
        <w:t xml:space="preserve">(427C,456A) </w:t>
      </w:r>
      <w:r>
        <w:rPr>
          <w:rFonts w:ascii="Times New Roman" w:hAnsi="Times New Roman"/>
          <w:b/>
          <w:i w:val="false"/>
          <w:color w:val="000000"/>
          <w:sz w:val="22"/>
        </w:rPr>
        <w:t xml:space="preserve">County assessor’s annual report on forest and fruit-tree reservations to the department of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color w:val="000000"/>
          <w:sz w:val="22"/>
        </w:rPr>
        <w:t xml:space="preserve">Report content. </w:t>
      </w:r>
      <w:r>
        <w:rPr>
          <w:rFonts w:ascii="Times New Roman" w:hAnsi="Times New Roman"/>
          <w:b w:val="false"/>
          <w:i w:val="false"/>
          <w:color w:val="000000"/>
          <w:sz w:val="22"/>
        </w:rPr>
        <w:t>The report shall be submitted in a sortable Microsoft Excel file and shall contain the county, parcel ID, class of parcel (agricultural, commercial, residential, etc.), name of owner, mailing address of owner, number of acres for each parcel, and exempted dollar value of each parcel for each forest and fruit-tree reservation. In addition, the report shall include the total number of acres, total number of parcels, and total exempted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color w:val="000000"/>
          <w:sz w:val="22"/>
        </w:rPr>
        <w:t xml:space="preserve">Report due date. </w:t>
      </w:r>
      <w:r>
        <w:rPr>
          <w:rFonts w:ascii="Times New Roman" w:hAnsi="Times New Roman"/>
          <w:b w:val="false"/>
          <w:i w:val="false"/>
          <w:color w:val="000000"/>
          <w:sz w:val="22"/>
        </w:rPr>
        <w:t xml:space="preserve">The report shall be submitted annually to the department of natural resources no later than June 15 of the assessment year.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chapters </w:t>
      </w:r>
      <w:hyperlink r:id="rId10">
        <w:r>
          <w:rPr>
            <w:rStyle w:val="Hyperlink"/>
            <w:rFonts w:ascii="Times New Roman" w:hAnsi="Times New Roman"/>
            <w:b w:val="false"/>
            <w:i w:val="false"/>
            <w:color w:val="000000"/>
            <w:sz w:val="22"/>
          </w:rPr>
          <w:t>427C</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ARC 9236C</w:t>
      </w:r>
      <w:r>
        <w:rPr>
          <w:rFonts w:ascii="Times New Roman" w:hAnsi="Times New Roman"/>
          <w:b w:val="false"/>
          <w:i w:val="false"/>
          <w:color w:val="000000"/>
          <w:sz w:val="21"/>
        </w:rPr>
        <w:t xml:space="preserve"> (Notice ARC 8622C,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7C.pdf" Type="http://schemas.openxmlformats.org/officeDocument/2006/relationships/hyperlink" Id="rId5"/>
    <Relationship TargetMode="External" Target="https://www.legis.iowa.gov/docs/ico/chapter/427C.2.pdf" Type="http://schemas.openxmlformats.org/officeDocument/2006/relationships/hyperlink" Id="rId6"/>
    <Relationship TargetMode="External" Target="https://www.legis.iowa.gov/docs/ico/chapter/427C.2.pdf" Type="http://schemas.openxmlformats.org/officeDocument/2006/relationships/hyperlink" Id="rId7"/>
    <Relationship TargetMode="External" Target="https://www.legis.iowa.gov/docs/ico/chapter/427C.4.pdf" Type="http://schemas.openxmlformats.org/officeDocument/2006/relationships/hyperlink" Id="rId8"/>
    <Relationship TargetMode="External" Target="https://www.legis.iowa.gov/docs/ico/chapter/427C.10.pdf" Type="http://schemas.openxmlformats.org/officeDocument/2006/relationships/hyperlink" Id="rId9"/>
    <Relationship TargetMode="External" Target="https://www.legis.iowa.gov/docs/ico/chapter/427C.pdf" Type="http://schemas.openxmlformats.org/officeDocument/2006/relationships/hyperlink" Id="rId10"/>
    <Relationship TargetMode="External" Target="https://www.legis.iowa.gov/docs/ico/chapter/44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