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SAYLORVILLE MULTIUSE TRAIL</w:t>
      </w:r>
    </w:p>
    <w:p>
      <w:pPr>
        <w:spacing w:before="0" w:after="0"/>
        <w:ind w:left="120"/>
        <w:jc w:val="center"/>
      </w:pPr>
      <w:r>
        <w:rPr>
          <w:rFonts w:ascii="Times New Roman" w:hAnsi="Times New Roman"/>
          <w:b w:val="false"/>
          <w:i w:val="false"/>
          <w:color w:val="000000"/>
          <w:sz w:val="14"/>
        </w:rPr>
        <w:t>[Prior to 12/31/86, Conservation Commission[290] Ch 56]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571—66.1</w:t>
      </w:r>
      <w:r>
        <w:rPr>
          <w:rFonts w:ascii="Times New Roman" w:hAnsi="Times New Roman"/>
          <w:b/>
          <w:i w:val="false"/>
          <w:color w:val="000000"/>
          <w:sz w:val="22"/>
        </w:rPr>
        <w:t xml:space="preserve">(461A,481A)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governs activity in the following described areas, all in Polk County,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w:t>
      </w:r>
      <w:r>
        <w:rPr>
          <w:rFonts w:ascii="Times New Roman" w:hAnsi="Times New Roman"/>
          <w:b w:val="false"/>
          <w:i w:val="false"/>
          <w:color w:val="000000"/>
          <w:sz w:val="22"/>
        </w:rPr>
        <w:t> </w:t>
      </w:r>
      <w:r>
        <w:rPr>
          <w:rFonts w:ascii="Times New Roman" w:hAnsi="Times New Roman"/>
          <w:b w:val="false"/>
          <w:i w:val="false"/>
          <w:color w:val="000000"/>
          <w:sz w:val="22"/>
        </w:rPr>
        <w:t>The parking area and trailhead facility located adjacent to the Des Moines River on the north side of Kempton Road (NW 66th Street) locally known as Sycamore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66.1(2)</w:t>
      </w:r>
      <w:r>
        <w:rPr>
          <w:rFonts w:ascii="Times New Roman" w:hAnsi="Times New Roman"/>
          <w:b w:val="false"/>
          <w:i w:val="false"/>
          <w:color w:val="000000"/>
          <w:sz w:val="22"/>
        </w:rPr>
        <w:t> </w:t>
      </w:r>
      <w:r>
        <w:rPr>
          <w:rFonts w:ascii="Times New Roman" w:hAnsi="Times New Roman"/>
          <w:b w:val="false"/>
          <w:i w:val="false"/>
          <w:color w:val="000000"/>
          <w:sz w:val="22"/>
        </w:rPr>
        <w:t>All federally owned property on the east side of the Des Moines River from Sycamore Access south to the north corporate limits of the city of Des Moines. This area is bounded on the west by the ordinary high water line of the Des Moines River and on the east by Morningstar Drive and NW 26th Street.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66.1(3)</w:t>
      </w:r>
      <w:r>
        <w:rPr>
          <w:rFonts w:ascii="Times New Roman" w:hAnsi="Times New Roman"/>
          <w:b w:val="false"/>
          <w:i w:val="false"/>
          <w:color w:val="000000"/>
          <w:sz w:val="22"/>
        </w:rPr>
        <w:t> </w:t>
      </w:r>
      <w:r>
        <w:rPr>
          <w:rFonts w:ascii="Times New Roman" w:hAnsi="Times New Roman"/>
          <w:b w:val="false"/>
          <w:i w:val="false"/>
          <w:color w:val="000000"/>
          <w:sz w:val="22"/>
        </w:rPr>
        <w:t>Federally owned property in Sections 15 and 22, Township 79N, Range 24W, located east of Morningstar Drive and north of the north corporate limits of the city of Des Moines.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571—66.2</w:t>
      </w:r>
      <w:r>
        <w:rPr>
          <w:rFonts w:ascii="Times New Roman" w:hAnsi="Times New Roman"/>
          <w:b/>
          <w:i w:val="false"/>
          <w:color w:val="000000"/>
          <w:sz w:val="22"/>
        </w:rPr>
        <w:t xml:space="preserve">(456A,481A) </w:t>
      </w:r>
      <w:r>
        <w:rPr>
          <w:rFonts w:ascii="Times New Roman" w:hAnsi="Times New Roman"/>
          <w:b/>
          <w:i w:val="false"/>
          <w:color w:val="000000"/>
          <w:sz w:val="22"/>
        </w:rPr>
        <w:t xml:space="preserve">Wildlife refuge. </w:t>
      </w:r>
      <w:r>
        <w:rPr>
          <w:rFonts w:ascii="Times New Roman" w:hAnsi="Times New Roman"/>
          <w:b w:val="false"/>
          <w:i w:val="false"/>
          <w:color w:val="000000"/>
          <w:sz w:val="22"/>
        </w:rPr>
        <w:t xml:space="preserve">The following described areas are established as game refuges and shall be posted with signs designating the boundaries other than the river.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w:t>
      </w:r>
      <w:r>
        <w:rPr>
          <w:rFonts w:ascii="Times New Roman" w:hAnsi="Times New Roman"/>
          <w:b w:val="false"/>
          <w:i w:val="false"/>
          <w:color w:val="000000"/>
          <w:sz w:val="22"/>
        </w:rPr>
        <w:t> </w:t>
      </w:r>
      <w:r>
        <w:rPr>
          <w:rFonts w:ascii="Times New Roman" w:hAnsi="Times New Roman"/>
          <w:b w:val="false"/>
          <w:i w:val="false"/>
          <w:color w:val="000000"/>
          <w:sz w:val="22"/>
        </w:rPr>
        <w:t>An area along and adjacent to the surfaced multiuse trail from the ordinary high water line of the Des Moines River to a point 50 yards east of the east edge of that trail extending from Sycamore Access to the north boundary of the right-of-way of Interstates 80-35.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w:t>
      </w:r>
      <w:r>
        <w:rPr>
          <w:rFonts w:ascii="Times New Roman" w:hAnsi="Times New Roman"/>
          <w:b w:val="false"/>
          <w:i w:val="false"/>
          <w:color w:val="000000"/>
          <w:sz w:val="22"/>
        </w:rPr>
        <w:t> </w:t>
      </w:r>
      <w:r>
        <w:rPr>
          <w:rFonts w:ascii="Times New Roman" w:hAnsi="Times New Roman"/>
          <w:b w:val="false"/>
          <w:i w:val="false"/>
          <w:color w:val="000000"/>
          <w:sz w:val="22"/>
        </w:rPr>
        <w:t>All federally owned land on the east side of the Des Moines River from the north right-of-way boundary of Interstates 80-35 south to the north corporate limits of the city of Des Moines.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571—66.3</w:t>
      </w:r>
      <w:r>
        <w:rPr>
          <w:rFonts w:ascii="Times New Roman" w:hAnsi="Times New Roman"/>
          <w:b/>
          <w:i w:val="false"/>
          <w:color w:val="000000"/>
          <w:sz w:val="22"/>
        </w:rPr>
        <w:t xml:space="preserve">(481A) </w:t>
      </w:r>
      <w:r>
        <w:rPr>
          <w:rFonts w:ascii="Times New Roman" w:hAnsi="Times New Roman"/>
          <w:b/>
          <w:i w:val="false"/>
          <w:color w:val="000000"/>
          <w:sz w:val="22"/>
        </w:rPr>
        <w:t xml:space="preserve">Hunting and trapping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w:t>
      </w:r>
      <w:r>
        <w:rPr>
          <w:rFonts w:ascii="Times New Roman" w:hAnsi="Times New Roman"/>
          <w:b w:val="false"/>
          <w:i w:val="false"/>
          <w:color w:val="000000"/>
          <w:sz w:val="22"/>
        </w:rPr>
        <w:t> </w:t>
      </w:r>
      <w:r>
        <w:rPr>
          <w:rFonts w:ascii="Times New Roman" w:hAnsi="Times New Roman"/>
          <w:b w:val="false"/>
          <w:i/>
          <w:color w:val="000000"/>
          <w:sz w:val="22"/>
        </w:rPr>
        <w:t xml:space="preserve">Hunting. </w:t>
      </w:r>
      <w:r>
        <w:rPr>
          <w:rFonts w:ascii="Times New Roman" w:hAnsi="Times New Roman"/>
          <w:b w:val="false"/>
          <w:i w:val="false"/>
          <w:color w:val="000000"/>
          <w:sz w:val="22"/>
        </w:rPr>
        <w:t>Hunting in those areas not designated as wildlife refuge shall be confined to the use of shotguns shooting shot only and use of bow and arrow. The use of any other method is prohibited. All laws and regulations governing hunting and trapping seasons and limits on possession are applicable on these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66.3(2)</w:t>
      </w:r>
      <w:r>
        <w:rPr>
          <w:rFonts w:ascii="Times New Roman" w:hAnsi="Times New Roman"/>
          <w:b w:val="false"/>
          <w:i w:val="false"/>
          <w:color w:val="000000"/>
          <w:sz w:val="22"/>
        </w:rPr>
        <w:t> </w:t>
      </w:r>
      <w:r>
        <w:rPr>
          <w:rFonts w:ascii="Times New Roman" w:hAnsi="Times New Roman"/>
          <w:b w:val="false"/>
          <w:i/>
          <w:color w:val="000000"/>
          <w:sz w:val="22"/>
        </w:rPr>
        <w:t xml:space="preserve">Trapping.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snares is prohibited on the area covered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traps used on the area, including foothold, leghold, body gripping or conibear type must be set completely underwater.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571—66.4</w:t>
      </w:r>
      <w:r>
        <w:rPr>
          <w:rFonts w:ascii="Times New Roman" w:hAnsi="Times New Roman"/>
          <w:b/>
          <w:i w:val="false"/>
          <w:color w:val="000000"/>
          <w:sz w:val="22"/>
        </w:rPr>
        <w:t xml:space="preserve">(461A) </w:t>
      </w:r>
      <w:r>
        <w:rPr>
          <w:rFonts w:ascii="Times New Roman" w:hAnsi="Times New Roman"/>
          <w:b/>
          <w:i w:val="false"/>
          <w:color w:val="000000"/>
          <w:sz w:val="22"/>
        </w:rPr>
        <w:t xml:space="preserve">Area use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66.4(1)</w:t>
      </w:r>
      <w:r>
        <w:rPr>
          <w:rFonts w:ascii="Times New Roman" w:hAnsi="Times New Roman"/>
          <w:b w:val="false"/>
          <w:i w:val="false"/>
          <w:color w:val="000000"/>
          <w:sz w:val="22"/>
        </w:rPr>
        <w:t> </w:t>
      </w:r>
      <w:r>
        <w:rPr>
          <w:rFonts w:ascii="Times New Roman" w:hAnsi="Times New Roman"/>
          <w:b w:val="false"/>
          <w:i w:val="false"/>
          <w:color w:val="000000"/>
          <w:sz w:val="22"/>
        </w:rPr>
        <w:t>The use of motor vehicles and snowmobiles is prohibited on the hard-surfaced multiuse trail except where signs authorize such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66.4(2)</w:t>
      </w:r>
      <w:r>
        <w:rPr>
          <w:rFonts w:ascii="Times New Roman" w:hAnsi="Times New Roman"/>
          <w:b w:val="false"/>
          <w:i w:val="false"/>
          <w:color w:val="000000"/>
          <w:sz w:val="22"/>
        </w:rPr>
        <w:t> </w:t>
      </w:r>
      <w:r>
        <w:rPr>
          <w:rFonts w:ascii="Times New Roman" w:hAnsi="Times New Roman"/>
          <w:b w:val="false"/>
          <w:i w:val="false"/>
          <w:color w:val="000000"/>
          <w:sz w:val="22"/>
        </w:rPr>
        <w:t>Snowmobile use is restricted to the area posted with signs permitting their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66.4(3)</w:t>
      </w:r>
      <w:r>
        <w:rPr>
          <w:rFonts w:ascii="Times New Roman" w:hAnsi="Times New Roman"/>
          <w:b w:val="false"/>
          <w:i w:val="false"/>
          <w:color w:val="000000"/>
          <w:sz w:val="22"/>
        </w:rPr>
        <w:t> </w:t>
      </w:r>
      <w:r>
        <w:rPr>
          <w:rFonts w:ascii="Times New Roman" w:hAnsi="Times New Roman"/>
          <w:b w:val="false"/>
          <w:i w:val="false"/>
          <w:color w:val="000000"/>
          <w:sz w:val="22"/>
        </w:rPr>
        <w:t>The use of equine animals is restricted to areas other than the hard-surfaced multiuse trail.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66.4(4)</w:t>
      </w:r>
      <w:r>
        <w:rPr>
          <w:rFonts w:ascii="Times New Roman" w:hAnsi="Times New Roman"/>
          <w:b w:val="false"/>
          <w:i w:val="false"/>
          <w:color w:val="000000"/>
          <w:sz w:val="22"/>
        </w:rPr>
        <w:t> </w:t>
      </w:r>
      <w:r>
        <w:rPr>
          <w:rFonts w:ascii="Times New Roman" w:hAnsi="Times New Roman"/>
          <w:b w:val="false"/>
          <w:i w:val="false"/>
          <w:color w:val="000000"/>
          <w:sz w:val="22"/>
        </w:rPr>
        <w:t>Permits may be issued by the director for special events on specific dates utilizing golf carts or similar transportation along the trail for elderly or handicapped 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461A.35</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481A.5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5/2/86, Notice 2/26/86—published 5/21/86, effective 6/25/86]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7/10/87, Notice 6/3/87—published 7/29/87, effective 9/2/87]</w:t>
      </w:r>
    </w:p>
    <w:p>
      <w:pPr>
        <w:spacing w:before="0" w:after="0"/>
        <w:ind w:left="120"/>
        <w:jc w:val="center"/>
      </w:pPr>
      <w:r>
        <w:rPr>
          <w:rFonts w:ascii="Times New Roman" w:hAnsi="Times New Roman"/>
          <w:b w:val="false"/>
          <w:i w:val="false"/>
          <w:color w:val="000000"/>
          <w:sz w:val="21"/>
        </w:rPr>
        <w:t>[Filed ARC 9233C</w:t>
      </w:r>
      <w:r>
        <w:rPr>
          <w:rFonts w:ascii="Times New Roman" w:hAnsi="Times New Roman"/>
          <w:b w:val="false"/>
          <w:i w:val="false"/>
          <w:color w:val="000000"/>
          <w:sz w:val="21"/>
        </w:rPr>
        <w:t xml:space="preserve"> (Notice ARC 8587C,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1A.35.pdf" Type="http://schemas.openxmlformats.org/officeDocument/2006/relationships/hyperlink" Id="rId5"/>
    <Relationship TargetMode="External" Target="https://www.legis.iowa.gov/docs/ico/chapter/481A.5.pdf" Type="http://schemas.openxmlformats.org/officeDocument/2006/relationships/hyperlink" Id="rId6"/>
    <Relationship TargetMode="External" Target="https://www.legis.iowa.gov/docs/ico/chapter/481A.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