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STATE PRESERVES</w:t>
      </w:r>
    </w:p>
    <w:p>
      <w:pPr>
        <w:spacing w:before="0" w:after="0"/>
        <w:ind w:left="120"/>
        <w:jc w:val="center"/>
      </w:pPr>
      <w:r>
        <w:rPr>
          <w:rFonts w:ascii="Times New Roman" w:hAnsi="Times New Roman"/>
          <w:b w:val="false"/>
          <w:i w:val="false"/>
          <w:color w:val="000000"/>
          <w:sz w:val="14"/>
        </w:rPr>
        <w:t>[Prior to 5/13/26, see Preserves, State Advisory Board for[575]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571—60.1</w:t>
      </w:r>
      <w:r>
        <w:rPr>
          <w:rFonts w:ascii="Times New Roman" w:hAnsi="Times New Roman"/>
          <w:b/>
          <w:i w:val="false"/>
          <w:color w:val="000000"/>
          <w:sz w:val="22"/>
        </w:rPr>
        <w:t xml:space="preserve">(465C) </w:t>
      </w:r>
      <w:r>
        <w:rPr>
          <w:rFonts w:ascii="Times New Roman" w:hAnsi="Times New Roman"/>
          <w:b/>
          <w:i w:val="false"/>
          <w:color w:val="000000"/>
          <w:sz w:val="22"/>
        </w:rPr>
        <w:t xml:space="preserve">Duties as to state preserves. </w:t>
      </w:r>
      <w:r>
        <w:rPr>
          <w:rFonts w:ascii="Times New Roman" w:hAnsi="Times New Roman"/>
          <w:b w:val="false"/>
          <w:i w:val="false"/>
          <w:color w:val="000000"/>
          <w:sz w:val="22"/>
        </w:rPr>
        <w:t>The natural resource commission is charged with the responsibility of locating, identifying, evaluating, and dedicating areas as state preserves.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571—60.2</w:t>
      </w:r>
      <w:r>
        <w:rPr>
          <w:rFonts w:ascii="Times New Roman" w:hAnsi="Times New Roman"/>
          <w:b/>
          <w:i w:val="false"/>
          <w:color w:val="000000"/>
          <w:sz w:val="22"/>
        </w:rPr>
        <w:t xml:space="preserve">(465C) </w:t>
      </w:r>
      <w:r>
        <w:rPr>
          <w:rFonts w:ascii="Times New Roman" w:hAnsi="Times New Roman"/>
          <w:b/>
          <w:i w:val="false"/>
          <w:color w:val="000000"/>
          <w:sz w:val="22"/>
        </w:rPr>
        <w:t xml:space="preserve">Types of preserves. </w:t>
      </w:r>
      <w:r>
        <w:rPr>
          <w:rFonts w:ascii="Times New Roman" w:hAnsi="Times New Roman"/>
          <w:b w:val="false"/>
          <w:i w:val="false"/>
          <w:color w:val="000000"/>
          <w:sz w:val="22"/>
        </w:rPr>
        <w:t>There shall be five major classes of preserves.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color w:val="000000"/>
          <w:sz w:val="22"/>
        </w:rPr>
        <w:t xml:space="preserve">Natural preserves. </w:t>
      </w:r>
      <w:r>
        <w:rPr>
          <w:rFonts w:ascii="Times New Roman" w:hAnsi="Times New Roman"/>
          <w:b w:val="false"/>
          <w:i w:val="false"/>
          <w:color w:val="000000"/>
          <w:sz w:val="22"/>
        </w:rPr>
        <w:t>These areas contain natural communities; habitats; native flora and fauna; or endangered, threatened, or rare organisms.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color w:val="000000"/>
          <w:sz w:val="22"/>
        </w:rPr>
        <w:t xml:space="preserve">Archaeological preserves. </w:t>
      </w:r>
      <w:r>
        <w:rPr>
          <w:rFonts w:ascii="Times New Roman" w:hAnsi="Times New Roman"/>
          <w:b w:val="false"/>
          <w:i w:val="false"/>
          <w:color w:val="000000"/>
          <w:sz w:val="22"/>
        </w:rPr>
        <w:t>These areas contain significant deposits left by prehistoric or early historic peoples.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color w:val="000000"/>
          <w:sz w:val="22"/>
        </w:rPr>
        <w:t xml:space="preserve">Historical preserves. </w:t>
      </w:r>
      <w:r>
        <w:rPr>
          <w:rFonts w:ascii="Times New Roman" w:hAnsi="Times New Roman"/>
          <w:b w:val="false"/>
          <w:i w:val="false"/>
          <w:color w:val="000000"/>
          <w:sz w:val="22"/>
        </w:rPr>
        <w:t>These are sites that contain structures or places that are of significance in studying the tenure of humans in Iowa since the advent of the first Euro-American explorers.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color w:val="000000"/>
          <w:sz w:val="22"/>
        </w:rPr>
        <w:t xml:space="preserve">Geological preserves. </w:t>
      </w:r>
      <w:r>
        <w:rPr>
          <w:rFonts w:ascii="Times New Roman" w:hAnsi="Times New Roman"/>
          <w:b w:val="false"/>
          <w:i w:val="false"/>
          <w:color w:val="000000"/>
          <w:sz w:val="22"/>
        </w:rPr>
        <w:t>These are areas that contain rare or distinctive landforms, fossils, stratigraphic sections, mineral deposits or examples of mining history; type or reference sections; or other special features or deposits that represent the events and processes of Iowa’s earth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w:t>
      </w:r>
      <w:r>
        <w:rPr>
          <w:rFonts w:ascii="Times New Roman" w:hAnsi="Times New Roman"/>
          <w:b w:val="false"/>
          <w:i w:val="false"/>
          <w:color w:val="000000"/>
          <w:sz w:val="22"/>
        </w:rPr>
        <w:t> </w:t>
      </w:r>
      <w:r>
        <w:rPr>
          <w:rFonts w:ascii="Times New Roman" w:hAnsi="Times New Roman"/>
          <w:b w:val="false"/>
          <w:i/>
          <w:color w:val="000000"/>
          <w:sz w:val="22"/>
        </w:rPr>
        <w:t xml:space="preserve">Scenic preserves. </w:t>
      </w:r>
      <w:r>
        <w:rPr>
          <w:rFonts w:ascii="Times New Roman" w:hAnsi="Times New Roman"/>
          <w:b w:val="false"/>
          <w:i w:val="false"/>
          <w:color w:val="000000"/>
          <w:sz w:val="22"/>
        </w:rPr>
        <w:t>These are areas that contain scenic features of aesthetic, scientific, or educational value.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571—60.3</w:t>
      </w:r>
      <w:r>
        <w:rPr>
          <w:rFonts w:ascii="Times New Roman" w:hAnsi="Times New Roman"/>
          <w:b/>
          <w:i w:val="false"/>
          <w:color w:val="000000"/>
          <w:sz w:val="22"/>
        </w:rPr>
        <w:t xml:space="preserve">(465C) </w:t>
      </w:r>
      <w:r>
        <w:rPr>
          <w:rFonts w:ascii="Times New Roman" w:hAnsi="Times New Roman"/>
          <w:b/>
          <w:i w:val="false"/>
          <w:color w:val="000000"/>
          <w:sz w:val="22"/>
        </w:rPr>
        <w:t xml:space="preserve">Management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and management. </w:t>
      </w:r>
      <w:r>
        <w:rPr>
          <w:rFonts w:ascii="Times New Roman" w:hAnsi="Times New Roman"/>
          <w:b w:val="false"/>
          <w:i w:val="false"/>
          <w:color w:val="000000"/>
          <w:sz w:val="22"/>
        </w:rPr>
        <w:t>The administrative and management authority for a preserve shall be agreed upon by the commission, the property owner, and the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color w:val="000000"/>
          <w:sz w:val="22"/>
        </w:rPr>
        <w:t xml:space="preserve">Management plan. </w:t>
      </w:r>
      <w:r>
        <w:rPr>
          <w:rFonts w:ascii="Times New Roman" w:hAnsi="Times New Roman"/>
          <w:b w:val="false"/>
          <w:i w:val="false"/>
          <w:color w:val="000000"/>
          <w:sz w:val="22"/>
        </w:rPr>
        <w:t>For each preserve, an authorized representative of the owner shall prepare a management plan in consultation with department staff. The management plan shall be consistent with the articles of dedication and shall include identification of uses of the preserve that are compatible and incompatible with its dedication as a preserve. The management plan shall be amended periodically, as appropriate, in response to new information. The management plan and amendments shall be submitted to the commission for approval. The department shall keep a copy of the current management plan. A management plan for a new preserve shall be submitted for approval by the commission in conjunction with approval of dedication of the preserve. Management plans for existing preserves shall be prepared and submitted for approval as resources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465C.8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2/20/85, Notice 1/2/85—published 3/13/85, effective 4/18/85]</w:t>
      </w:r>
    </w:p>
    <w:p>
      <w:pPr>
        <w:spacing w:before="0" w:after="0"/>
        <w:ind w:left="120"/>
        <w:jc w:val="center"/>
      </w:pPr>
      <w:r>
        <w:rPr>
          <w:rFonts w:ascii="Times New Roman" w:hAnsi="Times New Roman"/>
          <w:b w:val="false"/>
          <w:i w:val="false"/>
          <w:color w:val="000000"/>
          <w:sz w:val="21"/>
        </w:rPr>
        <w:t>[Filed without Notice 10/17/86—published 11/5/86, effective 12/10/86]</w:t>
      </w:r>
    </w:p>
    <w:p>
      <w:pPr>
        <w:spacing w:before="0" w:after="0"/>
        <w:ind w:left="120"/>
        <w:jc w:val="center"/>
      </w:pPr>
      <w:r>
        <w:rPr>
          <w:rFonts w:ascii="Times New Roman" w:hAnsi="Times New Roman"/>
          <w:b w:val="false"/>
          <w:i w:val="false"/>
          <w:color w:val="000000"/>
          <w:sz w:val="21"/>
        </w:rPr>
        <w:t>[Filed 8/31/01, Notice 5/30/01—published 9/19/01, effective 10/24/01]</w:t>
      </w:r>
    </w:p>
    <w:p>
      <w:pPr>
        <w:spacing w:before="0" w:after="0"/>
        <w:ind w:left="120"/>
        <w:jc w:val="center"/>
      </w:pPr>
      <w:r>
        <w:rPr>
          <w:rFonts w:ascii="Times New Roman" w:hAnsi="Times New Roman"/>
          <w:b w:val="false"/>
          <w:i w:val="false"/>
          <w:color w:val="000000"/>
          <w:sz w:val="21"/>
        </w:rPr>
        <w:t>[Filed ARC 0287D</w:t>
      </w:r>
      <w:r>
        <w:rPr>
          <w:rFonts w:ascii="Times New Roman" w:hAnsi="Times New Roman"/>
          <w:b w:val="false"/>
          <w:i w:val="false"/>
          <w:color w:val="000000"/>
          <w:sz w:val="21"/>
        </w:rPr>
        <w:t xml:space="preserve"> (Notice ARC 9890C, IAB 1/7/26)</w:t>
      </w:r>
      <w:r>
        <w:rPr>
          <w:rFonts w:ascii="Times New Roman" w:hAnsi="Times New Roman"/>
          <w:b w:val="false"/>
          <w:i w:val="false"/>
          <w:color w:val="000000"/>
          <w:sz w:val="21"/>
        </w:rPr>
        <w:t>, IAB 5/13/26, effective 6/17/26]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5C.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