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 xml:space="preserve"> SHOOTING SPORTS GRANT PROGRAM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571—56.1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shooting sports development grant is to provide state cost sharing to eligible applicants for the creation of new shooting ranges and improvement of existing shooting ranges and facilities. The purpose of the shooting sports equipment grant is to provide state cost sharing to eligible applicants for the purchase or improvement of shooting range equipment. The department of natural resources shall administer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review and selection committee established in </w:t>
      </w:r>
      <w:hyperlink r:id="rId6">
        <w:r>
          <w:rPr>
            <w:rStyle w:val="Hyperlink"/>
            <w:rFonts w:ascii="Times New Roman" w:hAnsi="Times New Roman"/>
            <w:b w:val="false"/>
            <w:i w:val="false"/>
            <w:color w:val="000000"/>
            <w:sz w:val="22"/>
          </w:rPr>
          <w:t>56.6(1)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571—56.3</w:t>
      </w:r>
      <w:r>
        <w:rPr>
          <w:rFonts w:ascii="Times New Roman" w:hAnsi="Times New Roman"/>
          <w:b/>
          <w:i w:val="false"/>
          <w:color w:val="000000"/>
          <w:sz w:val="22"/>
        </w:rPr>
        <w:t xml:space="preserve">(456A,481A)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applicant must submit an application and all supporting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Applicant requirements. </w:t>
      </w:r>
      <w:r>
        <w:rPr>
          <w:rFonts w:ascii="Times New Roman" w:hAnsi="Times New Roman"/>
          <w:b w:val="false"/>
          <w:i w:val="false"/>
          <w:color w:val="000000"/>
          <w:sz w:val="22"/>
        </w:rPr>
        <w:t>The entity submitting the application must meet the requirements of this subrule. The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free of any unresolved close-out issues on prior grant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shooting range will be located on property owned by the applicant or that the property is enrolled in a long-term lease of at least 25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liability insurance unless not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the range available for department hunter education courses, department hunter and recreational shooter recruitment efforts, department archery programs, and Scholastic Clay Target Program and Scholastic Action Shooting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Eligible entities. </w:t>
      </w:r>
      <w:r>
        <w:rPr>
          <w:rFonts w:ascii="Times New Roman" w:hAnsi="Times New Roman"/>
          <w:b w:val="false"/>
          <w:i w:val="false"/>
          <w:color w:val="000000"/>
          <w:sz w:val="22"/>
        </w:rPr>
        <w:t>The following entities are eligible to apply for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Iowa-based shooting sports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primary and secondary public and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public and private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nonprofit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ranges not owned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City park and recreation agencies, or county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Ineligible entities. </w:t>
      </w:r>
      <w:r>
        <w:rPr>
          <w:rFonts w:ascii="Times New Roman" w:hAnsi="Times New Roman"/>
          <w:b w:val="false"/>
          <w:i w:val="false"/>
          <w:color w:val="000000"/>
          <w:sz w:val="22"/>
        </w:rPr>
        <w:t>Privately owned for-profit ranges and state-owned-and-operated public ranges are not eligible for development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571—56.4</w:t>
      </w:r>
      <w:r>
        <w:rPr>
          <w:rFonts w:ascii="Times New Roman" w:hAnsi="Times New Roman"/>
          <w:b/>
          <w:i w:val="false"/>
          <w:color w:val="000000"/>
          <w:sz w:val="22"/>
        </w:rPr>
        <w:t xml:space="preserve">(456A,481A) </w:t>
      </w:r>
      <w:r>
        <w:rPr>
          <w:rFonts w:ascii="Times New Roman" w:hAnsi="Times New Roman"/>
          <w:b/>
          <w:i w:val="false"/>
          <w:color w:val="000000"/>
          <w:sz w:val="22"/>
        </w:rPr>
        <w:t xml:space="preserve">Maximum grant amounts. </w:t>
      </w:r>
      <w:r>
        <w:rPr>
          <w:rFonts w:ascii="Times New Roman" w:hAnsi="Times New Roman"/>
          <w:b w:val="false"/>
          <w:i w:val="false"/>
          <w:color w:val="000000"/>
          <w:sz w:val="22"/>
        </w:rPr>
        <w:t>The following are the maximum grant request amounts established for the development and equipment grant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grant request amount for development grants is $50,000 per project with at least a 25 percent match as described in </w:t>
      </w:r>
      <w:hyperlink r:id="rId9">
        <w:r>
          <w:rPr>
            <w:rStyle w:val="Hyperlink"/>
            <w:rFonts w:ascii="Times New Roman" w:hAnsi="Times New Roman"/>
            <w:b w:val="false"/>
            <w:i w:val="false"/>
            <w:color w:val="000000"/>
            <w:sz w:val="22"/>
          </w:rPr>
          <w:t>56.5(3)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maximum grant request amount for equipment grants, but a 50 percent match is required as described in </w:t>
      </w:r>
      <w:hyperlink r:id="rId10">
        <w:r>
          <w:rPr>
            <w:rStyle w:val="Hyperlink"/>
            <w:rFonts w:ascii="Times New Roman" w:hAnsi="Times New Roman"/>
            <w:b w:val="false"/>
            <w:i w:val="false"/>
            <w:color w:val="000000"/>
            <w:sz w:val="22"/>
          </w:rPr>
          <w:t>56.5(3)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571—56.5</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application submissions.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Grant applications shall be on forms provided by the department and shall follow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 </w:t>
      </w:r>
      <w:r>
        <w:rPr>
          <w:rFonts w:ascii="Times New Roman" w:hAnsi="Times New Roman"/>
          <w:b w:val="false"/>
          <w:i w:val="false"/>
          <w:color w:val="000000"/>
          <w:sz w:val="22"/>
        </w:rPr>
        <w:t>Grant applications (one original and five copies) must be received by the department by February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color w:val="000000"/>
          <w:sz w:val="22"/>
        </w:rPr>
        <w:t xml:space="preserve">Match and local funding. </w:t>
      </w:r>
      <w:r>
        <w:rPr>
          <w:rFonts w:ascii="Times New Roman" w:hAnsi="Times New Roman"/>
          <w:b w:val="false"/>
          <w:i w:val="false"/>
          <w:color w:val="000000"/>
          <w:sz w:val="22"/>
        </w:rPr>
        <w:t xml:space="preserve">Applicants are expected to finance 25 percent of development grant projects or 50 percent of equipment grant projects, either through cash, donated materials and labor, or another preapproved in-kind match. An applicant shall certify that it has committed its match before the 90 percent up-front grant payment will be made pursuant to </w:t>
      </w:r>
      <w:hyperlink r:id="rId11">
        <w:r>
          <w:rPr>
            <w:rStyle w:val="Hyperlink"/>
            <w:rFonts w:ascii="Times New Roman" w:hAnsi="Times New Roman"/>
            <w:b w:val="false"/>
            <w:i w:val="false"/>
            <w:color w:val="000000"/>
            <w:sz w:val="22"/>
          </w:rPr>
          <w:t>571—56.11</w:t>
        </w:r>
      </w:hyperlink>
      <w:r>
        <w:rPr>
          <w:rFonts w:ascii="Times New Roman" w:hAnsi="Times New Roman"/>
          <w:b w:val="false"/>
          <w:i w:val="false"/>
          <w:color w:val="000000"/>
          <w:sz w:val="22"/>
        </w:rPr>
        <w:t>(456A,481A). A letter of intent signed by the mayor, the chairperson of the board of supervisors, the chairperson of the county conservation board, or the CEO or chief financial officer of an agency, organization, or corporation and submitted with the application showing intent to include matching funds in finalized budgets will be accepted as proof of commitment. Applicants must forward proof of local funding to the department by June 1. If proof of local funding is not submitted, the application will be removed from the list of approved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56.5(4)</w:t>
      </w:r>
      <w:r>
        <w:rPr>
          <w:rFonts w:ascii="Times New Roman" w:hAnsi="Times New Roman"/>
          <w:b w:val="false"/>
          <w:i w:val="false"/>
          <w:color w:val="000000"/>
          <w:sz w:val="22"/>
        </w:rPr>
        <w:t> </w:t>
      </w:r>
      <w:r>
        <w:rPr>
          <w:rFonts w:ascii="Times New Roman" w:hAnsi="Times New Roman"/>
          <w:b w:val="false"/>
          <w:i/>
          <w:color w:val="000000"/>
          <w:sz w:val="22"/>
        </w:rPr>
        <w:t xml:space="preserve">Competitive bids. </w:t>
      </w:r>
      <w:r>
        <w:rPr>
          <w:rFonts w:ascii="Times New Roman" w:hAnsi="Times New Roman"/>
          <w:b w:val="false"/>
          <w:i w:val="false"/>
          <w:color w:val="000000"/>
          <w:sz w:val="22"/>
        </w:rPr>
        <w:t>Any development or equipment grant expense of more than $15,000 that is funded by grant dollars must be purchased through a competitive bid or quotation process. Records of such processes must be submitted with close-out documentation. Items purchased by any other means are not reimbursable under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571—56.6</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r>
        <w:rPr>
          <w:rFonts w:ascii="Times New Roman" w:hAnsi="Times New Roman"/>
          <w:b w:val="false"/>
          <w:i w:val="false"/>
          <w:color w:val="000000"/>
          <w:sz w:val="22"/>
        </w:rPr>
        <w:t>The review and selection committee shall be comprised of six members appointed by the director. The committee shall review and evaluate grant applications and determine final project approval to be recommended to the commission. Three members shall be department staff, and three members shall be from the public/private sector and shall be appointed based upon their expertise and interest in one of the three shooting sports of rifle/handgun, shotgun, and archery.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If a grant project is submitted to the committee by an entity with a member or employee on the committee, that committee member shall not participate in discussion and shall not vote on that particular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withheld. </w:t>
      </w:r>
      <w:r>
        <w:rPr>
          <w:rFonts w:ascii="Times New Roman" w:hAnsi="Times New Roman"/>
          <w:b w:val="false"/>
          <w:i w:val="false"/>
          <w:color w:val="000000"/>
          <w:sz w:val="22"/>
        </w:rPr>
        <w:t xml:space="preserve">The committee will not consider any application that, on the date of the selection session, is not complete or for which additional pertinent information has been requested and not received. The committee will not consider any application from an entity that, on the date of the selection session, has not demonstrated compliance with or does not have a reasonable plan for achieving compliance with the requirements of Iowa Code section </w:t>
      </w:r>
      <w:hyperlink r:id="rId12">
        <w:r>
          <w:rPr>
            <w:rStyle w:val="Hyperlink"/>
            <w:rFonts w:ascii="Times New Roman" w:hAnsi="Times New Roman"/>
            <w:b w:val="false"/>
            <w:i w:val="false"/>
            <w:color w:val="000000"/>
            <w:sz w:val="22"/>
          </w:rPr>
          <w:t>657.9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committee will apply a numerical rating system to each grant application that is considered for funding. The criteria and maximum number of points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program strength and feasibility—30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Proximity to other public ranges—25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Range capacity—15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type—10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56.6(5)</w:t>
      </w:r>
      <w:r>
        <w:rPr>
          <w:rFonts w:ascii="Times New Roman" w:hAnsi="Times New Roman"/>
          <w:b w:val="false"/>
          <w:i w:val="false"/>
          <w:color w:val="000000"/>
          <w:sz w:val="22"/>
        </w:rPr>
        <w:t> </w:t>
      </w:r>
      <w:r>
        <w:rPr>
          <w:rFonts w:ascii="Times New Roman" w:hAnsi="Times New Roman"/>
          <w:b w:val="false"/>
          <w:i/>
          <w:color w:val="000000"/>
          <w:sz w:val="22"/>
        </w:rPr>
        <w:t xml:space="preserve">Rating of scores for tiebreakers. </w:t>
      </w:r>
      <w:r>
        <w:rPr>
          <w:rFonts w:ascii="Times New Roman" w:hAnsi="Times New Roman"/>
          <w:b w:val="false"/>
          <w:i w:val="false"/>
          <w:color w:val="000000"/>
          <w:sz w:val="22"/>
        </w:rPr>
        <w:t>If two or more projects receive the same score, the committee shall use the points awarded for overall program strength and feasibility (</w:t>
      </w:r>
      <w:hyperlink r:id="rId13">
        <w:r>
          <w:rPr>
            <w:rStyle w:val="Hyperlink"/>
            <w:rFonts w:ascii="Times New Roman" w:hAnsi="Times New Roman"/>
            <w:b w:val="false"/>
            <w:i w:val="false"/>
            <w:color w:val="000000"/>
            <w:sz w:val="22"/>
          </w:rPr>
          <w:t>56.6(4)</w:t>
        </w:r>
        <w:r>
          <w:rPr>
            <w:rFonts w:ascii="Times New Roman" w:hAnsi="Times New Roman"/>
            <w:b w:val="false"/>
            <w:i/>
            <w:color w:val="000000"/>
            <w:sz w:val="22"/>
          </w:rPr>
          <w:t>“a”</w:t>
        </w:r>
      </w:hyperlink>
      <w:r>
        <w:rPr>
          <w:rFonts w:ascii="Times New Roman" w:hAnsi="Times New Roman"/>
          <w:b w:val="false"/>
          <w:i w:val="false"/>
          <w:color w:val="000000"/>
          <w:sz w:val="22"/>
        </w:rPr>
        <w:t>) to determine which project has a higher rank.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571—56.7</w:t>
      </w:r>
      <w:r>
        <w:rPr>
          <w:rFonts w:ascii="Times New Roman" w:hAnsi="Times New Roman"/>
          <w:b/>
          <w:i w:val="false"/>
          <w:color w:val="000000"/>
          <w:sz w:val="22"/>
        </w:rPr>
        <w:t xml:space="preserve">(456A,481A) </w:t>
      </w:r>
      <w:r>
        <w:rPr>
          <w:rFonts w:ascii="Times New Roman" w:hAnsi="Times New Roman"/>
          <w:b/>
          <w:i w:val="false"/>
          <w:color w:val="000000"/>
          <w:sz w:val="22"/>
        </w:rPr>
        <w:t xml:space="preserve">Commission review. </w:t>
      </w:r>
      <w:r>
        <w:rPr>
          <w:rFonts w:ascii="Times New Roman" w:hAnsi="Times New Roman"/>
          <w:b w:val="false"/>
          <w:i w:val="false"/>
          <w:color w:val="000000"/>
          <w:sz w:val="22"/>
        </w:rPr>
        <w:t>The commission will review and act upon all committee recommendations at the next scheduled commission meeting. The commission may reject any grant application selected for funding. Applicants shall be notified of their grant status in writing within 30 days after the commission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571—56.8</w:t>
      </w:r>
      <w:r>
        <w:rPr>
          <w:rFonts w:ascii="Times New Roman" w:hAnsi="Times New Roman"/>
          <w:b/>
          <w:i w:val="false"/>
          <w:color w:val="000000"/>
          <w:sz w:val="22"/>
        </w:rPr>
        <w:t xml:space="preserve">(456A,481A) </w:t>
      </w:r>
      <w:r>
        <w:rPr>
          <w:rFonts w:ascii="Times New Roman" w:hAnsi="Times New Roman"/>
          <w:b/>
          <w:i w:val="false"/>
          <w:color w:val="000000"/>
          <w:sz w:val="22"/>
        </w:rPr>
        <w:t xml:space="preserve">Appeals. </w:t>
      </w:r>
      <w:r>
        <w:rPr>
          <w:rFonts w:ascii="Times New Roman" w:hAnsi="Times New Roman"/>
          <w:b w:val="false"/>
          <w:i w:val="false"/>
          <w:color w:val="000000"/>
          <w:sz w:val="22"/>
        </w:rPr>
        <w:t>Unfunded applicants may appeal the commission’s decision to the director within five days of receipt of the commission’s decision. A letter of appeal shall be sent to the director of the department. Before making a final decision as to the grant award, the director shall review the application, committee score sheets and commission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571—56.9</w:t>
      </w:r>
      <w:r>
        <w:rPr>
          <w:rFonts w:ascii="Times New Roman" w:hAnsi="Times New Roman"/>
          <w:b/>
          <w:i w:val="false"/>
          <w:color w:val="000000"/>
          <w:sz w:val="22"/>
        </w:rPr>
        <w:t xml:space="preserve">(456A,481A)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Grant amendments may be made upon request by the applicant, subject to the availability of funds and approval by the director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571—56.10</w:t>
      </w:r>
      <w:r>
        <w:rPr>
          <w:rFonts w:ascii="Times New Roman" w:hAnsi="Times New Roman"/>
          <w:b/>
          <w:i w:val="false"/>
          <w:color w:val="000000"/>
          <w:sz w:val="22"/>
        </w:rPr>
        <w:t xml:space="preserve">(456A,481A) </w:t>
      </w:r>
      <w:r>
        <w:rPr>
          <w:rFonts w:ascii="Times New Roman" w:hAnsi="Times New Roman"/>
          <w:b/>
          <w:i w:val="false"/>
          <w:color w:val="000000"/>
          <w:sz w:val="22"/>
        </w:rPr>
        <w:t xml:space="preserve">Timely commencement of projects. </w:t>
      </w:r>
      <w:r>
        <w:rPr>
          <w:rFonts w:ascii="Times New Roman" w:hAnsi="Times New Roman"/>
          <w:b w:val="false"/>
          <w:i w:val="false"/>
          <w:color w:val="000000"/>
          <w:sz w:val="22"/>
        </w:rPr>
        <w:t>Grant recipients are expected to carry out their projects in an expeditious manner. Projects shall be initiated no later than two months following their approval by the committee and shall be completed no later than June 30 of the year following the grant award. Failure to initiate projects in a timely manner may be cause for termination of the agreement and cancellation of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571—56.11</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Payments. </w:t>
      </w:r>
      <w:r>
        <w:rPr>
          <w:rFonts w:ascii="Times New Roman" w:hAnsi="Times New Roman"/>
          <w:b w:val="false"/>
          <w:i w:val="false"/>
          <w:color w:val="000000"/>
          <w:sz w:val="22"/>
        </w:rPr>
        <w:t>Ninety percent of approved grant funding may be paid to project grantees when requested, but no earlier than the start-up date of the project. Ten percent of the grant total shall be withheld by the department, pending successful completion of the project and final site inspection, or until any irregularities discovered as a result of the final site inspection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56.11(1)</w:t>
      </w:r>
      <w:r>
        <w:rPr>
          <w:rFonts w:ascii="Times New Roman" w:hAnsi="Times New Roman"/>
          <w:b w:val="false"/>
          <w:i w:val="false"/>
          <w:color w:val="000000"/>
          <w:sz w:val="22"/>
        </w:rPr>
        <w:t> </w:t>
      </w:r>
      <w:r>
        <w:rPr>
          <w:rFonts w:ascii="Times New Roman" w:hAnsi="Times New Roman"/>
          <w:b w:val="false"/>
          <w:i/>
          <w:color w:val="000000"/>
          <w:sz w:val="22"/>
        </w:rPr>
        <w:t xml:space="preserve">Expense documentation, balance payment or reimbursement. </w:t>
      </w:r>
      <w:r>
        <w:rPr>
          <w:rFonts w:ascii="Times New Roman" w:hAnsi="Times New Roman"/>
          <w:b w:val="false"/>
          <w:i w:val="false"/>
          <w:color w:val="000000"/>
          <w:sz w:val="22"/>
        </w:rPr>
        <w:t xml:space="preserve">Documentation of expenditures eligible for prepayment or reimbursement shall be submitted on forms provided by the department and shall be accompanied by applicable receipts showing evidence that the expense is necessary and reasonably related to the creation of a new shooting range or to the improvement of an existing shooting range or facility. The grantee shall sign a certification stating that all expenses for which reimbursement is requested are related to the project and have been paid by the grantee prior to requesting reimbursement. The grantee shall provide copies of evidence or documents to verify that expenses were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56.11(2)</w:t>
      </w:r>
      <w:r>
        <w:rPr>
          <w:rFonts w:ascii="Times New Roman" w:hAnsi="Times New Roman"/>
          <w:b w:val="false"/>
          <w:i w:val="false"/>
          <w:color w:val="000000"/>
          <w:sz w:val="22"/>
        </w:rPr>
        <w:t> </w:t>
      </w:r>
      <w:r>
        <w:rPr>
          <w:rFonts w:ascii="Times New Roman" w:hAnsi="Times New Roman"/>
          <w:b w:val="false"/>
          <w:i/>
          <w:color w:val="000000"/>
          <w:sz w:val="22"/>
        </w:rPr>
        <w:t xml:space="preserve">Reasonable costs. </w:t>
      </w:r>
      <w:r>
        <w:rPr>
          <w:rFonts w:ascii="Times New Roman" w:hAnsi="Times New Roman"/>
          <w:b w:val="false"/>
          <w:i w:val="false"/>
          <w:color w:val="000000"/>
          <w:sz w:val="22"/>
        </w:rPr>
        <w:t xml:space="preserve">For purposes of this rule, expenses that are necessary and reasonably related to the creation of a new shooting range or to the improvement of an existing shooting range or facility include, without limitation: (1) costs associated with the lease or acquisition of real property used for the project; (2) personal property acquired for use in the project; (3) management and maintenance costs associated with the project; and (4) if applicable, costs of the actual equipment approved as the funded project and associated delivery costs, as well as the management and maintenance costs associated with such equipment. However, in no event shall funds awarded under this program be used to cover costs associated with employment or personnel costs of the grant recipient, including salaries and benefits. Those costs, however, may be used to meet the match requirement described in </w:t>
      </w:r>
      <w:hyperlink r:id="rId14">
        <w:r>
          <w:rPr>
            <w:rStyle w:val="Hyperlink"/>
            <w:rFonts w:ascii="Times New Roman" w:hAnsi="Times New Roman"/>
            <w:b w:val="false"/>
            <w:i w:val="false"/>
            <w:color w:val="000000"/>
            <w:sz w:val="22"/>
          </w:rPr>
          <w:t>56.5(3)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571—56.12</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Grant recipients shall keep adequate records relating to the administration of the project, particularly relating to all incurred expenses. These records shall be available for audit by representatives of the department and the state auditor’s office for a period of three years following the close of the grant. All records shall be retained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56.12(1)</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records. </w:t>
      </w:r>
      <w:r>
        <w:rPr>
          <w:rFonts w:ascii="Times New Roman" w:hAnsi="Times New Roman"/>
          <w:b w:val="false"/>
          <w:i w:val="false"/>
          <w:color w:val="000000"/>
          <w:sz w:val="22"/>
        </w:rPr>
        <w:t>Records include but are not necessarily limited to invoices, canceled checks, bank statements, and bid and quote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56.12(2)</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Grant recipients shall submit on forms provided by the department an annual report for five years following the close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56.12(3)</w:t>
      </w:r>
      <w:r>
        <w:rPr>
          <w:rFonts w:ascii="Times New Roman" w:hAnsi="Times New Roman"/>
          <w:b w:val="false"/>
          <w:i w:val="false"/>
          <w:color w:val="000000"/>
          <w:sz w:val="22"/>
        </w:rPr>
        <w:t> </w:t>
      </w:r>
      <w:r>
        <w:rPr>
          <w:rFonts w:ascii="Times New Roman" w:hAnsi="Times New Roman"/>
          <w:b w:val="false"/>
          <w:i/>
          <w:color w:val="000000"/>
          <w:sz w:val="22"/>
        </w:rPr>
        <w:t xml:space="preserve">Final performance reports.  </w:t>
      </w:r>
      <w:r>
        <w:rPr>
          <w:rFonts w:ascii="Times New Roman" w:hAnsi="Times New Roman"/>
          <w:b w:val="false"/>
          <w:i w:val="false"/>
          <w:color w:val="000000"/>
          <w:sz w:val="22"/>
        </w:rPr>
        <w:t>At the conclusion of the project agreement, grant recipients shall submit on forms provided by the department a final performance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571—56.13</w:t>
      </w:r>
      <w:r>
        <w:rPr>
          <w:rFonts w:ascii="Times New Roman" w:hAnsi="Times New Roman"/>
          <w:b/>
          <w:i w:val="false"/>
          <w:color w:val="000000"/>
          <w:sz w:val="22"/>
        </w:rPr>
        <w:t xml:space="preserve">(456A,481A) </w:t>
      </w:r>
      <w:r>
        <w:rPr>
          <w:rFonts w:ascii="Times New Roman" w:hAnsi="Times New Roman"/>
          <w:b/>
          <w:i w:val="false"/>
          <w:color w:val="000000"/>
          <w:sz w:val="22"/>
        </w:rPr>
        <w:t xml:space="preserve">Project life and recovery of grant funds. </w:t>
      </w:r>
      <w:r>
        <w:rPr>
          <w:rFonts w:ascii="Times New Roman" w:hAnsi="Times New Roman"/>
          <w:b w:val="false"/>
          <w:i w:val="false"/>
          <w:color w:val="000000"/>
          <w:sz w:val="22"/>
        </w:rPr>
        <w:t>Applicants shall state an expected project life of at least ten years, which will become part of the project agreement. Should the funded project cease to be used for public recreation before the end of the stated project life, the director may seek to recover the remaining value of the grant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571—56.14</w:t>
      </w:r>
      <w:r>
        <w:rPr>
          <w:rFonts w:ascii="Times New Roman" w:hAnsi="Times New Roman"/>
          <w:b/>
          <w:i w:val="false"/>
          <w:color w:val="000000"/>
          <w:sz w:val="22"/>
        </w:rPr>
        <w:t xml:space="preserve">(456A,481A) </w:t>
      </w:r>
      <w:r>
        <w:rPr>
          <w:rFonts w:ascii="Times New Roman" w:hAnsi="Times New Roman"/>
          <w:b/>
          <w:i w:val="false"/>
          <w:color w:val="000000"/>
          <w:sz w:val="22"/>
        </w:rPr>
        <w:t xml:space="preserve">Unlawful use of grant funds. </w:t>
      </w:r>
      <w:r>
        <w:rPr>
          <w:rFonts w:ascii="Times New Roman" w:hAnsi="Times New Roman"/>
          <w:b w:val="false"/>
          <w:i w:val="false"/>
          <w:color w:val="000000"/>
          <w:sz w:val="22"/>
        </w:rPr>
        <w:t>Unlawful use of grant funds includes whenever any property, real or personal, acquired or developed with grant funds under this program passes from the control of the grantee or is used for purposes other than the approved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571—56.15</w:t>
      </w:r>
      <w:r>
        <w:rPr>
          <w:rFonts w:ascii="Times New Roman" w:hAnsi="Times New Roman"/>
          <w:b/>
          <w:i w:val="false"/>
          <w:color w:val="000000"/>
          <w:sz w:val="22"/>
        </w:rPr>
        <w:t xml:space="preserve">(456A,481A) </w:t>
      </w:r>
      <w:r>
        <w:rPr>
          <w:rFonts w:ascii="Times New Roman" w:hAnsi="Times New Roman"/>
          <w:b/>
          <w:i w:val="false"/>
          <w:color w:val="000000"/>
          <w:sz w:val="22"/>
        </w:rPr>
        <w:t xml:space="preserve">Remedy. </w:t>
      </w:r>
      <w:r>
        <w:rPr>
          <w:rFonts w:ascii="Times New Roman" w:hAnsi="Times New Roman"/>
          <w:b w:val="false"/>
          <w:i w:val="false"/>
          <w:color w:val="000000"/>
          <w:sz w:val="22"/>
        </w:rPr>
        <w:t>Grant funds used without authorization for purposes other than the approved project, or unlawfully, must be returned to the department for deposit in the account supporting this program. In the case of diversion of personal property, the grantee shall remit to the department funds in the amount of the original purchase price of the property. The grantee shall have a period of three months after notification from the department in which to correct the unlawful use of funds. The remedy provided in this rule is in addition to others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571—56.16</w:t>
      </w:r>
      <w:r>
        <w:rPr>
          <w:rFonts w:ascii="Times New Roman" w:hAnsi="Times New Roman"/>
          <w:b/>
          <w:i w:val="false"/>
          <w:color w:val="000000"/>
          <w:sz w:val="22"/>
        </w:rPr>
        <w:t xml:space="preserve">(456A,481A) </w:t>
      </w:r>
      <w:r>
        <w:rPr>
          <w:rFonts w:ascii="Times New Roman" w:hAnsi="Times New Roman"/>
          <w:b/>
          <w:i w:val="false"/>
          <w:color w:val="000000"/>
          <w:sz w:val="22"/>
        </w:rPr>
        <w:t xml:space="preserve">Ineligibility. </w:t>
      </w:r>
      <w:r>
        <w:rPr>
          <w:rFonts w:ascii="Times New Roman" w:hAnsi="Times New Roman"/>
          <w:b w:val="false"/>
          <w:i w:val="false"/>
          <w:color w:val="000000"/>
          <w:sz w:val="22"/>
        </w:rPr>
        <w:t>Whenever the director determines that a grantee is in violation of these rules, that grantee shall be ineligible for further assistance until the matter has been resolved to the satisfaction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15">
        <w:r>
          <w:rPr>
            <w:rStyle w:val="Hyperlink"/>
            <w:rFonts w:ascii="Times New Roman" w:hAnsi="Times New Roman"/>
            <w:b w:val="false"/>
            <w:i w:val="false"/>
            <w:color w:val="000000"/>
            <w:sz w:val="22"/>
          </w:rPr>
          <w:t>456A.30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481A.17</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0308C</w:t>
      </w:r>
      <w:r>
        <w:rPr>
          <w:rFonts w:ascii="Times New Roman" w:hAnsi="Times New Roman"/>
          <w:b w:val="false"/>
          <w:i w:val="false"/>
          <w:color w:val="000000"/>
          <w:sz w:val="21"/>
        </w:rPr>
        <w:t xml:space="preserve"> (Notice ARC 0146C, IAB 5/30/12)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9230C</w:t>
      </w:r>
      <w:r>
        <w:rPr>
          <w:rFonts w:ascii="Times New Roman" w:hAnsi="Times New Roman"/>
          <w:b w:val="false"/>
          <w:i w:val="false"/>
          <w:color w:val="000000"/>
          <w:sz w:val="21"/>
        </w:rPr>
        <w:t xml:space="preserve"> (Notice ARC 8613C,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1.pdf" Type="http://schemas.openxmlformats.org/officeDocument/2006/relationships/hyperlink" Id="rId5"/>
    <Relationship TargetMode="External" Target="https://www.legis.iowa.gov/docs/iac/rule/571.56.6.pdf" Type="http://schemas.openxmlformats.org/officeDocument/2006/relationships/hyperlink" Id="rId6"/>
    <Relationship TargetMode="External" Target="https://www.legis.iowa.gov/docs/ico/chapter/481A.1.pdf" Type="http://schemas.openxmlformats.org/officeDocument/2006/relationships/hyperlink" Id="rId7"/>
    <Relationship TargetMode="External" Target="https://www.legis.iowa.gov/docs/ico/chapter/481A.1.pdf" Type="http://schemas.openxmlformats.org/officeDocument/2006/relationships/hyperlink" Id="rId8"/>
    <Relationship TargetMode="External" Target="https://www.legis.iowa.gov/docs/iac/rule/571.56.5.pdf" Type="http://schemas.openxmlformats.org/officeDocument/2006/relationships/hyperlink" Id="rId9"/>
    <Relationship TargetMode="External" Target="https://www.legis.iowa.gov/docs/iac/rule/571.56.5.pdf" Type="http://schemas.openxmlformats.org/officeDocument/2006/relationships/hyperlink" Id="rId10"/>
    <Relationship TargetMode="External" Target="https://www.legis.iowa.gov/docs/iac/rule/571.56.11.pdf" Type="http://schemas.openxmlformats.org/officeDocument/2006/relationships/hyperlink" Id="rId11"/>
    <Relationship TargetMode="External" Target="https://www.legis.iowa.gov/docs/ico/chapter/657.9.pdf" Type="http://schemas.openxmlformats.org/officeDocument/2006/relationships/hyperlink" Id="rId12"/>
    <Relationship TargetMode="External" Target="https://www.legis.iowa.gov/docs/iac/rule/571.56.6.pdf" Type="http://schemas.openxmlformats.org/officeDocument/2006/relationships/hyperlink" Id="rId13"/>
    <Relationship TargetMode="External" Target="https://www.legis.iowa.gov/docs/iac/rule/571.56.5.pdf" Type="http://schemas.openxmlformats.org/officeDocument/2006/relationships/hyperlink" Id="rId14"/>
    <Relationship TargetMode="External" Target="https://www.legis.iowa.gov/docs/ico/chapter/456A.30.pdf" Type="http://schemas.openxmlformats.org/officeDocument/2006/relationships/hyperlink" Id="rId15"/>
    <Relationship TargetMode="External" Target="https://www.legis.iowa.gov/docs/ico/chapter/481A.17.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