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52</w:t>
      </w:r>
    </w:p>
    <w:p>
      <w:pPr>
        <w:spacing w:before="0" w:after="0"/>
        <w:ind w:left="120"/>
        <w:jc w:val="center"/>
      </w:pPr>
      <w:r>
        <w:rPr>
          <w:rFonts w:ascii="Times New Roman" w:hAnsi="Times New Roman"/>
          <w:b w:val="false"/>
          <w:i w:val="false"/>
          <w:color w:val="000000"/>
          <w:sz w:val="21"/>
        </w:rPr>
        <w:t>WILDLIFE REFUGES</w:t>
      </w:r>
    </w:p>
    <w:p>
      <w:pPr>
        <w:spacing w:before="0" w:after="0"/>
        <w:ind w:left="120"/>
        <w:jc w:val="center"/>
      </w:pPr>
      <w:r>
        <w:rPr>
          <w:rFonts w:ascii="Times New Roman" w:hAnsi="Times New Roman"/>
          <w:b w:val="false"/>
          <w:i w:val="false"/>
          <w:color w:val="000000"/>
          <w:sz w:val="14"/>
        </w:rPr>
        <w:t>[Prior to 12/31/86, Conservation Commission[290] Chs 3,7,46]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571—52.1</w:t>
      </w:r>
      <w:r>
        <w:rPr>
          <w:rFonts w:ascii="Times New Roman" w:hAnsi="Times New Roman"/>
          <w:b/>
          <w:i w:val="false"/>
          <w:color w:val="000000"/>
          <w:sz w:val="22"/>
        </w:rPr>
        <w:t xml:space="preserve">(481A) </w:t>
      </w:r>
      <w:r>
        <w:rPr>
          <w:rFonts w:ascii="Times New Roman" w:hAnsi="Times New Roman"/>
          <w:b/>
          <w:i w:val="false"/>
          <w:color w:val="000000"/>
          <w:sz w:val="22"/>
        </w:rPr>
        <w:t xml:space="preserve">Established. </w:t>
      </w:r>
      <w:r>
        <w:rPr>
          <w:rFonts w:ascii="Times New Roman" w:hAnsi="Times New Roman"/>
          <w:b w:val="false"/>
          <w:i w:val="false"/>
          <w:color w:val="000000"/>
          <w:sz w:val="22"/>
        </w:rPr>
        <w:t xml:space="preserve">State-owned lands and water under the jurisdiction of the department of natural resources may be established as wildlife refuges or sanctuaries for the purpose of preserving the biological balance pursuant to the provisions of Iowa Code section </w:t>
      </w:r>
      <w:hyperlink r:id="rId5">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for the protection of public parks and public health, safety and welfare; and to effect sound wildlife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52.1(1)</w:t>
      </w:r>
      <w:r>
        <w:rPr>
          <w:rFonts w:ascii="Times New Roman" w:hAnsi="Times New Roman"/>
          <w:b w:val="false"/>
          <w:i w:val="false"/>
          <w:color w:val="000000"/>
          <w:sz w:val="22"/>
        </w:rPr>
        <w:t> </w:t>
      </w:r>
      <w:r>
        <w:rPr>
          <w:rFonts w:ascii="Times New Roman" w:hAnsi="Times New Roman"/>
          <w:b w:val="false"/>
          <w:i/>
          <w:color w:val="000000"/>
          <w:sz w:val="22"/>
        </w:rPr>
        <w:t xml:space="preserve">State parks, recreation areas and preserves. </w:t>
      </w:r>
      <w:r>
        <w:rPr>
          <w:rFonts w:ascii="Times New Roman" w:hAnsi="Times New Roman"/>
          <w:b w:val="false"/>
          <w:i w:val="false"/>
          <w:color w:val="000000"/>
          <w:sz w:val="22"/>
        </w:rPr>
        <w:t xml:space="preserve">State parks, recreation areas, and preserves listed on the department’s website at </w:t>
      </w:r>
      <w:hyperlink r:id="rId6">
        <w:r>
          <w:rPr>
            <w:rStyle w:val="Hyperlink"/>
            <w:rFonts w:ascii="Times New Roman" w:hAnsi="Times New Roman"/>
            <w:b w:val="false"/>
            <w:i w:val="false"/>
            <w:color w:val="000000"/>
            <w:sz w:val="22"/>
            <w:u w:val="single"/>
          </w:rPr>
          <w:t>www.iowadnr.gov/things-do/hunting-trapping/hunting-regulations-laws</w:t>
        </w:r>
      </w:hyperlink>
      <w:r>
        <w:rPr>
          <w:rFonts w:ascii="Times New Roman" w:hAnsi="Times New Roman"/>
          <w:b w:val="false"/>
          <w:i w:val="false"/>
          <w:color w:val="000000"/>
          <w:sz w:val="22"/>
        </w:rPr>
        <w:t xml:space="preserve"> are established as wildlife refuges, except where posted as open to public hunting.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52.1(2)</w:t>
      </w:r>
      <w:r>
        <w:rPr>
          <w:rFonts w:ascii="Times New Roman" w:hAnsi="Times New Roman"/>
          <w:b w:val="false"/>
          <w:i w:val="false"/>
          <w:color w:val="000000"/>
          <w:sz w:val="22"/>
        </w:rPr>
        <w:t> </w:t>
      </w:r>
      <w:r>
        <w:rPr>
          <w:rFonts w:ascii="Times New Roman" w:hAnsi="Times New Roman"/>
          <w:b w:val="false"/>
          <w:i/>
          <w:color w:val="000000"/>
          <w:sz w:val="22"/>
        </w:rPr>
        <w:t xml:space="preserve">Wildlife refuges. </w:t>
      </w:r>
      <w:r>
        <w:rPr>
          <w:rFonts w:ascii="Times New Roman" w:hAnsi="Times New Roman"/>
          <w:b w:val="false"/>
          <w:i w:val="false"/>
          <w:color w:val="000000"/>
          <w:sz w:val="22"/>
        </w:rPr>
        <w:t xml:space="preserve">Areas listed on the department’s website at </w:t>
      </w:r>
      <w:hyperlink r:id="rId7">
        <w:r>
          <w:rPr>
            <w:rStyle w:val="Hyperlink"/>
            <w:rFonts w:ascii="Times New Roman" w:hAnsi="Times New Roman"/>
            <w:b w:val="false"/>
            <w:i w:val="false"/>
            <w:color w:val="000000"/>
            <w:sz w:val="22"/>
            <w:u w:val="single"/>
          </w:rPr>
          <w:t>www.iowadnr.gov/things-do/hunting-trapping/hunting-regulations-laws</w:t>
        </w:r>
      </w:hyperlink>
      <w:r>
        <w:rPr>
          <w:rFonts w:ascii="Times New Roman" w:hAnsi="Times New Roman"/>
          <w:b w:val="false"/>
          <w:i w:val="false"/>
          <w:color w:val="000000"/>
          <w:sz w:val="22"/>
        </w:rPr>
        <w:t xml:space="preserve"> are established as wildlife refuges where posted. It is unlawful to hunt, pursue, kill, trap, or take any wild animal, bird, or game on these areas at any time, and no one shall carry firearms thereon, except where and when specifically authorized by the department. It is unlawful to trespass in any manner on these areas, where posted, during the dates posted, both dates inclusive, except that department personnel, law enforcement officials, and other persons specifically authorized by the department may enter the area at any time in performance of their duties, and hunters, under the supervision of department staff, may enter the area when specifically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52.1(3)</w:t>
      </w:r>
      <w:r>
        <w:rPr>
          <w:rFonts w:ascii="Times New Roman" w:hAnsi="Times New Roman"/>
          <w:b w:val="false"/>
          <w:i w:val="false"/>
          <w:color w:val="000000"/>
          <w:sz w:val="22"/>
        </w:rPr>
        <w:t> </w:t>
      </w:r>
      <w:r>
        <w:rPr>
          <w:rFonts w:ascii="Times New Roman" w:hAnsi="Times New Roman"/>
          <w:b w:val="false"/>
          <w:i/>
          <w:color w:val="000000"/>
          <w:sz w:val="22"/>
        </w:rPr>
        <w:t xml:space="preserve">Waterfowl refuges. </w:t>
      </w:r>
      <w:r>
        <w:rPr>
          <w:rFonts w:ascii="Times New Roman" w:hAnsi="Times New Roman"/>
          <w:b w:val="false"/>
          <w:i w:val="false"/>
          <w:color w:val="000000"/>
          <w:sz w:val="22"/>
        </w:rPr>
        <w:t xml:space="preserve">Areas listed on the department’s website at </w:t>
      </w:r>
      <w:hyperlink r:id="rId8">
        <w:r>
          <w:rPr>
            <w:rStyle w:val="Hyperlink"/>
            <w:rFonts w:ascii="Times New Roman" w:hAnsi="Times New Roman"/>
            <w:b w:val="false"/>
            <w:i w:val="false"/>
            <w:color w:val="000000"/>
            <w:sz w:val="22"/>
            <w:u w:val="single"/>
          </w:rPr>
          <w:t>www.iowadnr.gov/things-do/hunting-trapping/hunting-regulations-laws</w:t>
        </w:r>
      </w:hyperlink>
      <w:r>
        <w:rPr>
          <w:rFonts w:ascii="Times New Roman" w:hAnsi="Times New Roman"/>
          <w:b w:val="false"/>
          <w:i w:val="false"/>
          <w:color w:val="000000"/>
          <w:sz w:val="22"/>
        </w:rPr>
        <w:t xml:space="preserve"> are established as waterfowl refuges where posted. It is unlawful to hunt ducks and geese on these areas, where posted, at any time during the year. It is unlawful to trespass in any manner on these areas, where posted, during the dates posted, both dates inclusive, except that department personnel, law enforcement officials, and other persons specifically authorized by the department may enter the area at any time in performance of their duties, and hunters, under the supervision of department staff, may enter the area when specifically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52.1(4)</w:t>
      </w:r>
      <w:r>
        <w:rPr>
          <w:rFonts w:ascii="Times New Roman" w:hAnsi="Times New Roman"/>
          <w:b w:val="false"/>
          <w:i w:val="false"/>
          <w:color w:val="000000"/>
          <w:sz w:val="22"/>
        </w:rPr>
        <w:t> </w:t>
      </w:r>
      <w:r>
        <w:rPr>
          <w:rFonts w:ascii="Times New Roman" w:hAnsi="Times New Roman"/>
          <w:b w:val="false"/>
          <w:i/>
          <w:color w:val="000000"/>
          <w:sz w:val="22"/>
        </w:rPr>
        <w:t xml:space="preserve">Restricted areas. </w:t>
      </w:r>
      <w:r>
        <w:rPr>
          <w:rFonts w:ascii="Times New Roman" w:hAnsi="Times New Roman"/>
          <w:b w:val="false"/>
          <w:i w:val="false"/>
          <w:color w:val="000000"/>
          <w:sz w:val="22"/>
        </w:rPr>
        <w:t>It is unlawful to trespass in any manner on areas posted as restricted areas, except that department personnel, law enforcement officials, and other persons specifically authorized by the department may enter the area at any time in performance of their duties.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481A.5</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481A.6</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481A.9</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10/25/62; amended 4/9/74]</w:t>
      </w:r>
    </w:p>
    <w:p>
      <w:pPr>
        <w:spacing w:before="0" w:after="0"/>
        <w:ind w:left="120"/>
        <w:jc w:val="center"/>
      </w:pPr>
      <w:r>
        <w:rPr>
          <w:rFonts w:ascii="Times New Roman" w:hAnsi="Times New Roman"/>
          <w:b w:val="false"/>
          <w:i w:val="false"/>
          <w:color w:val="000000"/>
          <w:sz w:val="21"/>
        </w:rPr>
        <w:t>[Filed 9/13/66; amended 8/14/74]</w:t>
      </w:r>
    </w:p>
    <w:p>
      <w:pPr>
        <w:spacing w:before="0" w:after="0"/>
        <w:ind w:left="120"/>
        <w:jc w:val="center"/>
      </w:pPr>
      <w:r>
        <w:rPr>
          <w:rFonts w:ascii="Times New Roman" w:hAnsi="Times New Roman"/>
          <w:b w:val="false"/>
          <w:i w:val="false"/>
          <w:color w:val="000000"/>
          <w:sz w:val="21"/>
        </w:rPr>
        <w:t>[Filed emergency 7/20/77—published 8/10/77, effective 7/20/77]</w:t>
      </w:r>
    </w:p>
    <w:p>
      <w:pPr>
        <w:spacing w:before="0" w:after="0"/>
        <w:ind w:left="120"/>
        <w:jc w:val="center"/>
      </w:pPr>
      <w:r>
        <w:rPr>
          <w:rFonts w:ascii="Times New Roman" w:hAnsi="Times New Roman"/>
          <w:b w:val="false"/>
          <w:i w:val="false"/>
          <w:color w:val="000000"/>
          <w:sz w:val="21"/>
        </w:rPr>
        <w:t>[Filed emergency 9/1/77—published 9/21/77, effective 9/1/77]</w:t>
      </w:r>
    </w:p>
    <w:p>
      <w:pPr>
        <w:spacing w:before="0" w:after="0"/>
        <w:ind w:left="120"/>
        <w:jc w:val="center"/>
      </w:pPr>
      <w:r>
        <w:rPr>
          <w:rFonts w:ascii="Times New Roman" w:hAnsi="Times New Roman"/>
          <w:b w:val="false"/>
          <w:i w:val="false"/>
          <w:color w:val="000000"/>
          <w:sz w:val="21"/>
        </w:rPr>
        <w:t>[Filed 6/8/78, Notice 4/5/78—published 6/28/78, effective 8/10/78]</w:t>
      </w:r>
    </w:p>
    <w:p>
      <w:pPr>
        <w:spacing w:before="0" w:after="0"/>
        <w:ind w:left="120"/>
        <w:jc w:val="center"/>
      </w:pPr>
      <w:r>
        <w:rPr>
          <w:rFonts w:ascii="Times New Roman" w:hAnsi="Times New Roman"/>
          <w:b w:val="false"/>
          <w:i w:val="false"/>
          <w:color w:val="000000"/>
          <w:sz w:val="21"/>
        </w:rPr>
        <w:t>[Filed emergency 4/2/80—published 4/30/80, effective 4/2/80]</w:t>
      </w:r>
    </w:p>
    <w:p>
      <w:pPr>
        <w:spacing w:before="0" w:after="0"/>
        <w:ind w:left="120"/>
        <w:jc w:val="center"/>
      </w:pPr>
      <w:r>
        <w:rPr>
          <w:rFonts w:ascii="Times New Roman" w:hAnsi="Times New Roman"/>
          <w:b w:val="false"/>
          <w:i w:val="false"/>
          <w:color w:val="000000"/>
          <w:sz w:val="21"/>
        </w:rPr>
        <w:t>[Filed 2/6/81, Notice 12/24/80—published 3/4/81, effective 4/9/81]</w:t>
      </w:r>
    </w:p>
    <w:p>
      <w:pPr>
        <w:spacing w:before="0" w:after="0"/>
        <w:ind w:left="120"/>
        <w:jc w:val="center"/>
      </w:pPr>
      <w:r>
        <w:rPr>
          <w:rFonts w:ascii="Times New Roman" w:hAnsi="Times New Roman"/>
          <w:b w:val="false"/>
          <w:i w:val="false"/>
          <w:color w:val="000000"/>
          <w:sz w:val="21"/>
        </w:rPr>
        <w:t>[Filed 6/3/83, Notice 4/27/83—published 6/22/83, effective 8/1/83]</w:t>
      </w:r>
    </w:p>
    <w:p>
      <w:pPr>
        <w:spacing w:before="0" w:after="0"/>
        <w:ind w:left="120"/>
        <w:jc w:val="center"/>
      </w:pPr>
      <w:r>
        <w:rPr>
          <w:rFonts w:ascii="Times New Roman" w:hAnsi="Times New Roman"/>
          <w:b w:val="false"/>
          <w:i w:val="false"/>
          <w:color w:val="000000"/>
          <w:sz w:val="21"/>
        </w:rPr>
        <w:t>[Filed 6/13/84, Notice 2/1/84—published 7/4/84, effective 8/9/84]</w:t>
      </w:r>
    </w:p>
    <w:p>
      <w:pPr>
        <w:spacing w:before="0" w:after="0"/>
        <w:ind w:left="120"/>
        <w:jc w:val="center"/>
      </w:pPr>
      <w:r>
        <w:rPr>
          <w:rFonts w:ascii="Times New Roman" w:hAnsi="Times New Roman"/>
          <w:b w:val="false"/>
          <w:i w:val="false"/>
          <w:color w:val="000000"/>
          <w:sz w:val="21"/>
        </w:rPr>
        <w:t>[Filed 7/10/85, Notice 4/27/85—published 7/31/85, effective 9/4/85]</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emergency 10/8/87—published 11/4/87, effective 10/9/87]</w:t>
      </w:r>
    </w:p>
    <w:p>
      <w:pPr>
        <w:spacing w:before="0" w:after="0"/>
        <w:ind w:left="120"/>
        <w:jc w:val="center"/>
      </w:pPr>
      <w:r>
        <w:rPr>
          <w:rFonts w:ascii="Times New Roman" w:hAnsi="Times New Roman"/>
          <w:b w:val="false"/>
          <w:i w:val="false"/>
          <w:color w:val="000000"/>
          <w:sz w:val="21"/>
        </w:rPr>
        <w:t>[Filed 12/11/87, Notice 6/3/87—published 12/30/87, effective 2/5/88]</w:t>
      </w:r>
    </w:p>
    <w:p>
      <w:pPr>
        <w:spacing w:before="0" w:after="0"/>
        <w:ind w:left="120"/>
        <w:jc w:val="center"/>
      </w:pPr>
      <w:r>
        <w:rPr>
          <w:rFonts w:ascii="Times New Roman" w:hAnsi="Times New Roman"/>
          <w:b w:val="false"/>
          <w:i w:val="false"/>
          <w:color w:val="000000"/>
          <w:sz w:val="21"/>
        </w:rPr>
        <w:t>[Filed 2/5/88, Notice 11/4/87—published 2/24/88, effective 3/30/88]</w:t>
      </w:r>
    </w:p>
    <w:p>
      <w:pPr>
        <w:spacing w:before="0" w:after="0"/>
        <w:ind w:left="120"/>
        <w:jc w:val="center"/>
      </w:pPr>
      <w:r>
        <w:rPr>
          <w:rFonts w:ascii="Times New Roman" w:hAnsi="Times New Roman"/>
          <w:b w:val="false"/>
          <w:i w:val="false"/>
          <w:color w:val="000000"/>
          <w:sz w:val="21"/>
        </w:rPr>
        <w:t>[Filed 1/6/89, Notice 11/2/88—published 1/25/89, effective 3/1/89]</w:t>
      </w:r>
    </w:p>
    <w:p>
      <w:pPr>
        <w:spacing w:before="0" w:after="0"/>
        <w:ind w:left="120"/>
        <w:jc w:val="center"/>
      </w:pPr>
      <w:r>
        <w:rPr>
          <w:rFonts w:ascii="Times New Roman" w:hAnsi="Times New Roman"/>
          <w:b w:val="false"/>
          <w:i w:val="false"/>
          <w:color w:val="000000"/>
          <w:sz w:val="21"/>
        </w:rPr>
        <w:t>[Filed 6/7/91, Notice 4/3/91—published 6/26/91, effective 7/31/91</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10/4/91 after Notice 8/7/91—published 10/30/91, effective 10/4/91]</w:t>
      </w:r>
    </w:p>
    <w:p>
      <w:pPr>
        <w:spacing w:before="0" w:after="0"/>
        <w:ind w:left="120"/>
        <w:jc w:val="center"/>
      </w:pPr>
      <w:r>
        <w:rPr>
          <w:rFonts w:ascii="Times New Roman" w:hAnsi="Times New Roman"/>
          <w:b w:val="false"/>
          <w:i w:val="false"/>
          <w:color w:val="000000"/>
          <w:sz w:val="21"/>
        </w:rPr>
        <w:t>[Filed 8/14/92, Notice 5/27/92—published 9/2/92, effective 10/7/92]</w:t>
      </w:r>
    </w:p>
    <w:p>
      <w:pPr>
        <w:spacing w:before="0" w:after="0"/>
        <w:ind w:left="120"/>
        <w:jc w:val="center"/>
      </w:pPr>
      <w:r>
        <w:rPr>
          <w:rFonts w:ascii="Times New Roman" w:hAnsi="Times New Roman"/>
          <w:b w:val="false"/>
          <w:i w:val="false"/>
          <w:color w:val="000000"/>
          <w:sz w:val="21"/>
        </w:rPr>
        <w:t>[Filed 8/11/95, Notice 3/1/95—published 8/30/95, effective 10/4/95]</w:t>
      </w:r>
    </w:p>
    <w:p>
      <w:pPr>
        <w:spacing w:before="0" w:after="0"/>
        <w:ind w:left="120"/>
        <w:jc w:val="center"/>
      </w:pPr>
      <w:r>
        <w:rPr>
          <w:rFonts w:ascii="Times New Roman" w:hAnsi="Times New Roman"/>
          <w:b w:val="false"/>
          <w:i w:val="false"/>
          <w:color w:val="000000"/>
          <w:sz w:val="21"/>
        </w:rPr>
        <w:t>[Filed 6/14/96, Notice 2/28/96—published 7/3/96, effective 8/7/96]</w:t>
      </w:r>
    </w:p>
    <w:p>
      <w:pPr>
        <w:spacing w:before="0" w:after="0"/>
        <w:ind w:left="120"/>
        <w:jc w:val="center"/>
      </w:pPr>
      <w:r>
        <w:rPr>
          <w:rFonts w:ascii="Times New Roman" w:hAnsi="Times New Roman"/>
          <w:b w:val="false"/>
          <w:i w:val="false"/>
          <w:color w:val="000000"/>
          <w:sz w:val="21"/>
        </w:rPr>
        <w:t>[Filed 6/14/96, Notice 4/10/96—published 7/3/96, effective 8/7/96]</w:t>
      </w:r>
    </w:p>
    <w:p>
      <w:pPr>
        <w:spacing w:before="0" w:after="0"/>
        <w:ind w:left="120"/>
        <w:jc w:val="center"/>
      </w:pPr>
      <w:r>
        <w:rPr>
          <w:rFonts w:ascii="Times New Roman" w:hAnsi="Times New Roman"/>
          <w:b w:val="false"/>
          <w:i w:val="false"/>
          <w:color w:val="000000"/>
          <w:sz w:val="21"/>
        </w:rPr>
        <w:t>[Filed 8/9/96, Notice 7/3/96—published 8/28/96, effective 10/2/96]</w:t>
      </w:r>
    </w:p>
    <w:p>
      <w:pPr>
        <w:spacing w:before="0" w:after="0"/>
        <w:ind w:left="120"/>
        <w:jc w:val="center"/>
      </w:pPr>
      <w:r>
        <w:rPr>
          <w:rFonts w:ascii="Times New Roman" w:hAnsi="Times New Roman"/>
          <w:b w:val="false"/>
          <w:i w:val="false"/>
          <w:color w:val="000000"/>
          <w:sz w:val="21"/>
        </w:rPr>
        <w:t>[Filed 2/21/97, Notice 1/1/97—published 3/12/97, effective 4/16/97]</w:t>
      </w:r>
    </w:p>
    <w:p>
      <w:pPr>
        <w:spacing w:before="0" w:after="0"/>
        <w:ind w:left="120"/>
        <w:jc w:val="center"/>
      </w:pPr>
      <w:r>
        <w:rPr>
          <w:rFonts w:ascii="Times New Roman" w:hAnsi="Times New Roman"/>
          <w:b w:val="false"/>
          <w:i w:val="false"/>
          <w:color w:val="000000"/>
          <w:sz w:val="21"/>
        </w:rPr>
        <w:t>[Filed 5/29/98, Notice 3/11/98—published 6/17/98, effective 7/22/98]</w:t>
      </w:r>
    </w:p>
    <w:p>
      <w:pPr>
        <w:spacing w:before="0" w:after="0"/>
        <w:ind w:left="120"/>
        <w:jc w:val="center"/>
      </w:pPr>
      <w:r>
        <w:rPr>
          <w:rFonts w:ascii="Times New Roman" w:hAnsi="Times New Roman"/>
          <w:b w:val="false"/>
          <w:i w:val="false"/>
          <w:color w:val="000000"/>
          <w:sz w:val="21"/>
        </w:rPr>
        <w:t>[Filed emergency 12/11/98 after Notice 11/4/98—published 12/30/98, effective 1/1/99]</w:t>
      </w:r>
    </w:p>
    <w:p>
      <w:pPr>
        <w:spacing w:before="0" w:after="0"/>
        <w:ind w:left="120"/>
        <w:jc w:val="center"/>
      </w:pPr>
      <w:r>
        <w:rPr>
          <w:rFonts w:ascii="Times New Roman" w:hAnsi="Times New Roman"/>
          <w:b w:val="false"/>
          <w:i w:val="false"/>
          <w:color w:val="000000"/>
          <w:sz w:val="21"/>
        </w:rPr>
        <w:t>[Filed 5/14/99, Notice 3/10/99—published 6/2/99, effective 7/7/99]</w:t>
      </w:r>
    </w:p>
    <w:p>
      <w:pPr>
        <w:spacing w:before="0" w:after="0"/>
        <w:ind w:left="120"/>
        <w:jc w:val="center"/>
      </w:pPr>
      <w:r>
        <w:rPr>
          <w:rFonts w:ascii="Times New Roman" w:hAnsi="Times New Roman"/>
          <w:b w:val="false"/>
          <w:i w:val="false"/>
          <w:color w:val="000000"/>
          <w:sz w:val="21"/>
        </w:rPr>
        <w:t>[Filed 8/18/00, Notice 6/28/00—published 9/6/00, effective 10/11/00]</w:t>
      </w:r>
    </w:p>
    <w:p>
      <w:pPr>
        <w:spacing w:before="0" w:after="0"/>
        <w:ind w:left="120"/>
        <w:jc w:val="center"/>
      </w:pPr>
      <w:r>
        <w:rPr>
          <w:rFonts w:ascii="Times New Roman" w:hAnsi="Times New Roman"/>
          <w:b w:val="false"/>
          <w:i w:val="false"/>
          <w:color w:val="000000"/>
          <w:sz w:val="21"/>
        </w:rPr>
        <w:t>[Filed 5/9/03, Notice 3/5/03—published 5/28/03, effective 7/2/03]</w:t>
      </w:r>
    </w:p>
    <w:p>
      <w:pPr>
        <w:spacing w:before="0" w:after="0"/>
        <w:ind w:left="120"/>
        <w:jc w:val="center"/>
      </w:pPr>
      <w:r>
        <w:rPr>
          <w:rFonts w:ascii="Times New Roman" w:hAnsi="Times New Roman"/>
          <w:b w:val="false"/>
          <w:i w:val="false"/>
          <w:color w:val="000000"/>
          <w:sz w:val="21"/>
        </w:rPr>
        <w:t>[Filed 8/13/04, Notice 7/7/04—published 9/1/04, effective 10/6/04]</w:t>
      </w:r>
    </w:p>
    <w:p>
      <w:pPr>
        <w:spacing w:before="0" w:after="0"/>
        <w:ind w:left="120"/>
        <w:jc w:val="center"/>
      </w:pPr>
      <w:r>
        <w:rPr>
          <w:rFonts w:ascii="Times New Roman" w:hAnsi="Times New Roman"/>
          <w:b w:val="false"/>
          <w:i w:val="false"/>
          <w:color w:val="000000"/>
          <w:sz w:val="21"/>
        </w:rPr>
        <w:t>[Filed 3/11/05, Notice 12/8/04—published 3/30/05, effective 5/4/05]</w:t>
      </w:r>
    </w:p>
    <w:p>
      <w:pPr>
        <w:spacing w:before="0" w:after="0"/>
        <w:ind w:left="120"/>
        <w:jc w:val="center"/>
      </w:pPr>
      <w:r>
        <w:rPr>
          <w:rFonts w:ascii="Times New Roman" w:hAnsi="Times New Roman"/>
          <w:b w:val="false"/>
          <w:i w:val="false"/>
          <w:color w:val="000000"/>
          <w:sz w:val="21"/>
        </w:rPr>
        <w:t>[Filed 5/17/06, Notice 3/29/06—published 6/7/06, effective 7/12/06]</w:t>
      </w:r>
    </w:p>
    <w:p>
      <w:pPr>
        <w:spacing w:before="0" w:after="0"/>
        <w:ind w:left="120"/>
        <w:jc w:val="center"/>
      </w:pPr>
      <w:r>
        <w:rPr>
          <w:rFonts w:ascii="Times New Roman" w:hAnsi="Times New Roman"/>
          <w:b w:val="false"/>
          <w:i w:val="false"/>
          <w:color w:val="000000"/>
          <w:sz w:val="21"/>
        </w:rPr>
        <w:t>[Filed 5/21/07, Notice 3/28/07—published 6/20/07, effective 7/25/07]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7918B</w:t>
      </w:r>
      <w:r>
        <w:rPr>
          <w:rFonts w:ascii="Times New Roman" w:hAnsi="Times New Roman"/>
          <w:b w:val="false"/>
          <w:i w:val="false"/>
          <w:color w:val="000000"/>
          <w:sz w:val="21"/>
        </w:rPr>
        <w:t xml:space="preserve"> (Notice ARC 7685B, IAB 4/8/09)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9657B</w:t>
      </w:r>
      <w:r>
        <w:rPr>
          <w:rFonts w:ascii="Times New Roman" w:hAnsi="Times New Roman"/>
          <w:b w:val="false"/>
          <w:i w:val="false"/>
          <w:color w:val="000000"/>
          <w:sz w:val="21"/>
        </w:rPr>
        <w:t xml:space="preserve"> (Notice ARC 9524B, IAB 6/1/11)</w:t>
      </w:r>
      <w:r>
        <w:rPr>
          <w:rFonts w:ascii="Times New Roman" w:hAnsi="Times New Roman"/>
          <w:b w:val="false"/>
          <w:i w:val="false"/>
          <w:color w:val="000000"/>
          <w:sz w:val="21"/>
        </w:rPr>
        <w:t>, IAB 8/10/11, effective 9/14/11]</w:t>
      </w:r>
    </w:p>
    <w:p>
      <w:pPr>
        <w:spacing w:before="0" w:after="0"/>
        <w:ind w:left="120"/>
        <w:jc w:val="center"/>
      </w:pPr>
      <w:r>
        <w:rPr>
          <w:rFonts w:ascii="Times New Roman" w:hAnsi="Times New Roman"/>
          <w:b w:val="false"/>
          <w:i w:val="false"/>
          <w:color w:val="000000"/>
          <w:sz w:val="21"/>
        </w:rPr>
        <w:t>[Filed ARC 0828C</w:t>
      </w:r>
      <w:r>
        <w:rPr>
          <w:rFonts w:ascii="Times New Roman" w:hAnsi="Times New Roman"/>
          <w:b w:val="false"/>
          <w:i w:val="false"/>
          <w:color w:val="000000"/>
          <w:sz w:val="21"/>
        </w:rPr>
        <w:t xml:space="preserve"> (Notice ARC 0720C, IAB 5/1/13)</w:t>
      </w:r>
      <w:r>
        <w:rPr>
          <w:rFonts w:ascii="Times New Roman" w:hAnsi="Times New Roman"/>
          <w:b w:val="false"/>
          <w:i w:val="false"/>
          <w:color w:val="000000"/>
          <w:sz w:val="21"/>
        </w:rPr>
        <w:t>, IAB 7/10/13, effective 8/14/13]</w:t>
      </w:r>
    </w:p>
    <w:p>
      <w:pPr>
        <w:spacing w:before="0" w:after="0"/>
        <w:ind w:left="120"/>
        <w:jc w:val="center"/>
      </w:pPr>
      <w:r>
        <w:rPr>
          <w:rFonts w:ascii="Times New Roman" w:hAnsi="Times New Roman"/>
          <w:b w:val="false"/>
          <w:i w:val="false"/>
          <w:color w:val="000000"/>
          <w:sz w:val="21"/>
        </w:rPr>
        <w:t>[Filed ARC 3796C</w:t>
      </w:r>
      <w:r>
        <w:rPr>
          <w:rFonts w:ascii="Times New Roman" w:hAnsi="Times New Roman"/>
          <w:b w:val="false"/>
          <w:i w:val="false"/>
          <w:color w:val="000000"/>
          <w:sz w:val="21"/>
        </w:rPr>
        <w:t xml:space="preserve"> (Notice ARC 3627C, IAB 2/14/18)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6355C</w:t>
      </w:r>
      <w:r>
        <w:rPr>
          <w:rFonts w:ascii="Times New Roman" w:hAnsi="Times New Roman"/>
          <w:b w:val="false"/>
          <w:i w:val="false"/>
          <w:color w:val="000000"/>
          <w:sz w:val="21"/>
        </w:rPr>
        <w:t xml:space="preserve"> (Notice ARC 6260C, IAB 3/23/22)</w:t>
      </w:r>
      <w:r>
        <w:rPr>
          <w:rFonts w:ascii="Times New Roman" w:hAnsi="Times New Roman"/>
          <w:b w:val="false"/>
          <w:i w:val="false"/>
          <w:color w:val="000000"/>
          <w:sz w:val="21"/>
        </w:rPr>
        <w:t>, IAB 6/15/22, effective 7/20/22]</w:t>
      </w:r>
    </w:p>
    <w:p>
      <w:pPr>
        <w:spacing w:before="0" w:after="0"/>
        <w:ind w:left="120"/>
        <w:jc w:val="center"/>
      </w:pPr>
      <w:r>
        <w:rPr>
          <w:rFonts w:ascii="Times New Roman" w:hAnsi="Times New Roman"/>
          <w:b w:val="false"/>
          <w:i w:val="false"/>
          <w:color w:val="000000"/>
          <w:sz w:val="21"/>
        </w:rPr>
        <w:t>[Filed ARC 9227C</w:t>
      </w:r>
      <w:r>
        <w:rPr>
          <w:rFonts w:ascii="Times New Roman" w:hAnsi="Times New Roman"/>
          <w:b w:val="false"/>
          <w:i w:val="false"/>
          <w:color w:val="000000"/>
          <w:sz w:val="21"/>
        </w:rPr>
        <w:t xml:space="preserve"> (Notice ARC 8607C, IAB 1/8/25)</w:t>
      </w:r>
      <w:r>
        <w:rPr>
          <w:rFonts w:ascii="Times New Roman" w:hAnsi="Times New Roman"/>
          <w:b w:val="false"/>
          <w:i w:val="false"/>
          <w:color w:val="000000"/>
          <w:sz w:val="21"/>
        </w:rPr>
        <w:t>, IAB 5/14/25, effective 6/18/25]</w:t>
      </w:r>
    </w:p>
    <w:p>
      <w:pPr>
        <w:pBdr>
          <w:bottom w:space="2"/>
        </w:pBdr>
        <w:spacing w:before="0" w:after="0"/>
        <w:ind w:left="120"/>
        <w:jc w:val="both"/>
      </w:pPr>
      <w:r>
        <w:rPr>
          <w:rFonts w:ascii="Times New Roman" w:hAnsi="Times New Roman"/>
          <w:b w:val="false"/>
          <w:i w:val="false"/>
          <w:color w:val="000000"/>
          <w:sz w:val="22"/>
        </w:rPr>
        <w:t>Effective date of 52.1(1) “Mines of Spain”(7/31/91) delayed 70 days by the Administrative Rules Review Committee at its meeting held 7/12/91.</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39.pdf" Type="http://schemas.openxmlformats.org/officeDocument/2006/relationships/hyperlink" Id="rId5"/>
    <Relationship TargetMode="External" Target="http://www.iowadnr.gov/things-do/hunting-trapping/hunting-regulations-laws" Type="http://schemas.openxmlformats.org/officeDocument/2006/relationships/hyperlink" Id="rId6"/>
    <Relationship TargetMode="External" Target="http://www.iowadnr.gov/things-do/hunting-trapping/hunting-regulations-laws" Type="http://schemas.openxmlformats.org/officeDocument/2006/relationships/hyperlink" Id="rId7"/>
    <Relationship TargetMode="External" Target="http://www.iowadnr.gov/things-do/hunting-trapping/hunting-regulations-laws" Type="http://schemas.openxmlformats.org/officeDocument/2006/relationships/hyperlink" Id="rId8"/>
    <Relationship TargetMode="External" Target="https://www.legis.iowa.gov/docs/ico/chapter/481A.5.pdf" Type="http://schemas.openxmlformats.org/officeDocument/2006/relationships/hyperlink" Id="rId9"/>
    <Relationship TargetMode="External" Target="https://www.legis.iowa.gov/docs/ico/chapter/481A.6.pdf" Type="http://schemas.openxmlformats.org/officeDocument/2006/relationships/hyperlink" Id="rId10"/>
    <Relationship TargetMode="External" Target="https://www.legis.iowa.gov/docs/ico/chapter/481A.9.pdf" Type="http://schemas.openxmlformats.org/officeDocument/2006/relationships/hyperlink" Id="rId11"/>
    <Relationship TargetMode="External" Target="https://www.legis.iowa.gov/docs/ico/chapter/481A.39.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