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MANAGEMENT AREAS AND PRACTICES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GAME MANAGEMENT AREAS</w:t>
      </w:r>
    </w:p>
    <w:p>
      <w:pPr>
        <w:spacing w:before="0" w:after="0"/>
        <w:ind w:left="120"/>
        <w:jc w:val="center"/>
      </w:pPr>
      <w:r>
        <w:rPr>
          <w:rFonts w:ascii="Times New Roman" w:hAnsi="Times New Roman"/>
          <w:b w:val="false"/>
          <w:i w:val="false"/>
          <w:color w:val="000000"/>
          <w:sz w:val="20"/>
        </w:rPr>
        <w:t>[Prior to 12/31/86, Conservation Commission[290] Chs 1,2,4,8,9,24]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571—51.1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“Blind”</w:t>
      </w:r>
      <w:r>
        <w:rPr>
          <w:rFonts w:ascii="Times New Roman" w:hAnsi="Times New Roman"/>
          <w:b w:val="false"/>
          <w:i w:val="false"/>
          <w:color w:val="000000"/>
          <w:sz w:val="22"/>
        </w:rPr>
        <w:t> </w:t>
      </w:r>
      <w:r>
        <w:rPr>
          <w:rFonts w:ascii="Times New Roman" w:hAnsi="Times New Roman"/>
          <w:b w:val="false"/>
          <w:i w:val="false"/>
          <w:color w:val="000000"/>
          <w:sz w:val="22"/>
        </w:rPr>
        <w:t>means a constructed place of ambush or concealment for the purpose of hunting, observing, or photographing any species of wildlife.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“Decoy”</w:t>
      </w:r>
      <w:r>
        <w:rPr>
          <w:rFonts w:ascii="Times New Roman" w:hAnsi="Times New Roman"/>
          <w:b w:val="false"/>
          <w:i w:val="false"/>
          <w:color w:val="000000"/>
          <w:sz w:val="22"/>
        </w:rPr>
        <w:t> </w:t>
      </w:r>
      <w:r>
        <w:rPr>
          <w:rFonts w:ascii="Times New Roman" w:hAnsi="Times New Roman"/>
          <w:b w:val="false"/>
          <w:i w:val="false"/>
          <w:color w:val="000000"/>
          <w:sz w:val="22"/>
        </w:rPr>
        <w:t>means a bird, or animal, or a likeness of one, used to lure game within shooting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“Horse”</w:t>
      </w:r>
      <w:r>
        <w:rPr>
          <w:rFonts w:ascii="Times New Roman" w:hAnsi="Times New Roman"/>
          <w:b w:val="false"/>
          <w:i w:val="false"/>
          <w:color w:val="000000"/>
          <w:sz w:val="22"/>
        </w:rPr>
        <w:t> </w:t>
      </w:r>
      <w:r>
        <w:rPr>
          <w:rFonts w:ascii="Times New Roman" w:hAnsi="Times New Roman"/>
          <w:b w:val="false"/>
          <w:i w:val="false"/>
          <w:color w:val="000000"/>
          <w:sz w:val="22"/>
        </w:rPr>
        <w:t>means any equine animal, including horses, mules, burros, donkeys, and all llamas or alpaca-like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self-propelled vehicle having at least three wheels and registered as a motor vehicle under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with a physical disability”</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an individual commonly termed a paraplegic or quadriplegic, with paralysis or a physical condition of the lower half of the body with the involvement of both legs, usually due to disease or injury to the spinal cord; a person who is a single or double amputee of the legs; or a person with any other physical affliction that makes it impossible to ambulate successfully without the use of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shooting”</w:t>
      </w:r>
      <w:r>
        <w:rPr>
          <w:rFonts w:ascii="Times New Roman" w:hAnsi="Times New Roman"/>
          <w:b w:val="false"/>
          <w:i w:val="false"/>
          <w:color w:val="000000"/>
          <w:sz w:val="22"/>
        </w:rPr>
        <w:t> </w:t>
      </w:r>
      <w:r>
        <w:rPr>
          <w:rFonts w:ascii="Times New Roman" w:hAnsi="Times New Roman"/>
          <w:b w:val="false"/>
          <w:i w:val="false"/>
          <w:color w:val="000000"/>
          <w:sz w:val="22"/>
        </w:rPr>
        <w:t>means the discharge of a firearm for any reason other than the taking of, or attempting to take, any game birds, game animals, or furbearers.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“Trail camera”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“game camera”</w:t>
      </w:r>
      <w:r>
        <w:rPr>
          <w:rFonts w:ascii="Times New Roman" w:hAnsi="Times New Roman"/>
          <w:b w:val="false"/>
          <w:i w:val="false"/>
          <w:color w:val="000000"/>
          <w:sz w:val="22"/>
        </w:rPr>
        <w:t> </w:t>
      </w:r>
      <w:r>
        <w:rPr>
          <w:rFonts w:ascii="Times New Roman" w:hAnsi="Times New Roman"/>
          <w:b w:val="false"/>
          <w:i w:val="false"/>
          <w:color w:val="000000"/>
          <w:sz w:val="22"/>
        </w:rPr>
        <w:t>means any remote motion-activated or infrared camera in which the shutter is activated by sound triggers, proximity sensation, radio transmitters, or a self-timer built into the trail camera or game camera.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0557D</w:t>
      </w:r>
      <w:r>
        <w:rPr>
          <w:rFonts w:ascii="Times New Roman" w:hAnsi="Times New Roman"/>
          <w:b w:val="false"/>
          <w:i w:val="false"/>
          <w:color w:val="000000"/>
          <w:sz w:val="16"/>
        </w:rPr>
        <w:t>, IAB 9/2/26, effective 2/1/27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571—51.2</w:t>
      </w:r>
      <w:r>
        <w:rPr>
          <w:rFonts w:ascii="Times New Roman" w:hAnsi="Times New Roman"/>
          <w:b/>
          <w:i w:val="false"/>
          <w:color w:val="000000"/>
          <w:sz w:val="22"/>
        </w:rPr>
        <w:t xml:space="preserve">(481A) </w:t>
      </w:r>
      <w:r>
        <w:rPr>
          <w:rFonts w:ascii="Times New Roman" w:hAnsi="Times New Roman"/>
          <w:b/>
          <w:i w:val="false"/>
          <w:color w:val="000000"/>
          <w:sz w:val="22"/>
        </w:rPr>
        <w:t xml:space="preserve">Jurisdiction. </w:t>
      </w:r>
      <w:r>
        <w:rPr>
          <w:rFonts w:ascii="Times New Roman" w:hAnsi="Times New Roman"/>
          <w:b w:val="false"/>
          <w:i w:val="false"/>
          <w:color w:val="000000"/>
          <w:sz w:val="22"/>
        </w:rPr>
        <w:t xml:space="preserve">All lands and waters under the jurisdiction of the department are established as game management areas under the provisions of Iowa Code section </w:t>
      </w:r>
      <w:hyperlink r:id="rId8">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Use restrictions are established to protect the primary purpose of game management areas, which is to provide fish and wildlife habitat and associated fish- and wildlife-dependent recreation. In addition to the restrictions in this chapter, the department may close portions of game management areas to any use if hazardous or poor conditions warrant. Use restrictions in this chapter do not apply to department personnel, law enforcement officials, or other authorized persons engaged in research, management, or enforcement when in performance of their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571—51.3</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firearms.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The use or possession of firearms on certain game management areas is restricted.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Target shooting with shotguns shooting shot is not restricted to a specific range, except as otherwise provided. Target shooters using shotguns with lead shot cannot discharge the shot over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Target shooting shall occur only on the designated and posted shooting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target shooting with any type of handgun or any type of rifle, or shooting shotgun slugs through a shotgun, must fire through one of the firing tubes, if provided, or at the firing points on the rifle or pistol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a violation of these rules to place any target on the top of the earthen backstop or to fire at any target placed on top of the backstop.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shotgun range, if provided, is restricted to the use of shotguns and the shooting of shotshells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Target shooting shall occur only between the hours of sunrise and sunset, unless otherwise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alcoholic beverages are allowed on the shooting range or adjacent parking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Target shooting is restricted to legal firearms and shall not be done with any fully automatic pistol, rifle, or shotgun of any kind. Armor piercing and tracer ammunition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Targets are restricted to paper or cardboard targets or metal silhouette-type targets. Metal targets must be placed a minimum of 15 yards from the firing point for handguns and 100 yards away from the firing point for rifles. No glass, plastic containers, appliances, or other materials may be used. Targets must be removed from the area after use or must be disposed of in trash receptacles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requirements listed in this subrule shall apply to the following shooting ranges: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Brushy Creek Area—Webster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Hawkeye Wildlife Area—Johnson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Hull Wildlife Area—Mahaska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Mines of Spain—Dubuque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Ocheyedan Wildlife Area—Clay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Spring Run Wildlife Area—Dickinson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Oyens Shooting Range—Plymouth County. The range is closed to the public except between 9 a.m. and sunset.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McIntosh Wildlife Area—Cerro Gordo County. The use or possession of firearms, except shotguns shooting shot only,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Use of paintball guns. </w:t>
      </w:r>
      <w:r>
        <w:rPr>
          <w:rFonts w:ascii="Times New Roman" w:hAnsi="Times New Roman"/>
          <w:b w:val="false"/>
          <w:i w:val="false"/>
          <w:color w:val="000000"/>
          <w:sz w:val="22"/>
        </w:rPr>
        <w:t>The use of any item generally referred to as a paintball gun is prohibited on all game management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571—51.4</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horses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Horses are prohibited on all game management areas unless allowed by exception. This rule does not apply to state forests or state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Exception for hunting and field trials. </w:t>
      </w:r>
      <w:r>
        <w:rPr>
          <w:rFonts w:ascii="Times New Roman" w:hAnsi="Times New Roman"/>
          <w:b w:val="false"/>
          <w:i w:val="false"/>
          <w:color w:val="000000"/>
          <w:sz w:val="22"/>
        </w:rPr>
        <w:t>Horses may be used on all game management areas for training raccoon hunting dogs from October 1 to February 1 and for hunting raccoons during open hunting seasons. Horses may be used for participating in authorized field trials, unless this activity is posted as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Exception for horseback riding. </w:t>
      </w:r>
      <w:r>
        <w:rPr>
          <w:rFonts w:ascii="Times New Roman" w:hAnsi="Times New Roman"/>
          <w:b w:val="false"/>
          <w:i w:val="false"/>
          <w:color w:val="000000"/>
          <w:sz w:val="22"/>
        </w:rPr>
        <w:t>Horseback riding is allowed on the following game management areas from May 25 to September 30 and is confined to existing roads or trails as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Elk Grove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Lennon Mills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Marlow Ray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Middle Raccoon River Wildlife Area—Guthrie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Sand Creek Wildlife Area—Decatur and Ringgold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Cardinal Marsh—Winneshiek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Hawkeye Wildlife Area—Johnson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Black Hawk Wildlife Area—Sac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Turkey River Wildlife Area—Howard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571—51.5</w:t>
      </w:r>
      <w:r>
        <w:rPr>
          <w:rFonts w:ascii="Times New Roman" w:hAnsi="Times New Roman"/>
          <w:b/>
          <w:i w:val="false"/>
          <w:color w:val="000000"/>
          <w:sz w:val="22"/>
        </w:rPr>
        <w:t xml:space="preserve">(481A) </w:t>
      </w:r>
      <w:r>
        <w:rPr>
          <w:rFonts w:ascii="Times New Roman" w:hAnsi="Times New Roman"/>
          <w:b/>
          <w:i w:val="false"/>
          <w:color w:val="000000"/>
          <w:sz w:val="22"/>
        </w:rPr>
        <w:t xml:space="preserve">Dogs prohibited—exception. </w:t>
      </w:r>
      <w:r>
        <w:rPr>
          <w:rFonts w:ascii="Times New Roman" w:hAnsi="Times New Roman"/>
          <w:b w:val="false"/>
          <w:i w:val="false"/>
          <w:color w:val="000000"/>
          <w:sz w:val="22"/>
        </w:rPr>
        <w:t xml:space="preserve">Dogs are prohibited on all state-owned game management areas between the dates of March 15 and July 15 each year. Training of dogs is permitted in designated training areas. Field and retriever meets are only permitted at designated sites and must have secured a permit as provided in Iowa Code section </w:t>
      </w:r>
      <w:hyperlink r:id="rId9">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xml:space="preserve"> that shows the exact designated site of said meet, and all dogs shall be confined to that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571—51.6</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blinds, decoys, and trail cameras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Stationary blinds. </w:t>
      </w:r>
      <w:r>
        <w:rPr>
          <w:rFonts w:ascii="Times New Roman" w:hAnsi="Times New Roman"/>
          <w:b w:val="false"/>
          <w:i w:val="false"/>
          <w:color w:val="000000"/>
          <w:sz w:val="22"/>
        </w:rPr>
        <w:t>The construction and use of stationary blinds on all game management areas, except on Pool 14 downstream of the Upper Mississippi River National Wildlife and Fish Refuge (River Mile 502) near Princeton, Iowa, and on Pools 15, 16, 17, and 18 of the Mississippi River, are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Any person may construct a stationary blind using only the natural vegetation found on the area. No trees or parts of trees other than willows may be cut for use in constructing a blind. No other man-made materials of any type may be used for building or providing access to a stationary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blinds. </w:t>
      </w:r>
      <w:r>
        <w:rPr>
          <w:rFonts w:ascii="Times New Roman" w:hAnsi="Times New Roman"/>
          <w:b w:val="false"/>
          <w:i w:val="false"/>
          <w:color w:val="000000"/>
          <w:sz w:val="22"/>
        </w:rPr>
        <w:t xml:space="preserve">The use of any stationary blind that is constructed in violation of </w:t>
      </w:r>
      <w:hyperlink r:id="rId10">
        <w:r>
          <w:rPr>
            <w:rStyle w:val="Hyperlink"/>
            <w:rFonts w:ascii="Times New Roman" w:hAnsi="Times New Roman"/>
            <w:b w:val="false"/>
            <w:i w:val="false"/>
            <w:color w:val="000000"/>
            <w:sz w:val="22"/>
          </w:rPr>
          <w:t>51.6(1)</w:t>
        </w:r>
        <w:r>
          <w:rPr>
            <w:rFonts w:ascii="Times New Roman" w:hAnsi="Times New Roman"/>
            <w:b w:val="false"/>
            <w:i/>
            <w:color w:val="000000"/>
            <w:sz w:val="22"/>
          </w:rPr>
          <w:t>“a”</w:t>
        </w:r>
      </w:hyperlink>
      <w:r>
        <w:rPr>
          <w:rFonts w:ascii="Times New Roman" w:hAnsi="Times New Roman"/>
          <w:b w:val="false"/>
          <w:i w:val="false"/>
          <w:color w:val="000000"/>
          <w:sz w:val="22"/>
        </w:rPr>
        <w:t xml:space="preserv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Ownership of blinds. </w:t>
      </w:r>
      <w:r>
        <w:rPr>
          <w:rFonts w:ascii="Times New Roman" w:hAnsi="Times New Roman"/>
          <w:b w:val="false"/>
          <w:i w:val="false"/>
          <w:color w:val="000000"/>
          <w:sz w:val="22"/>
        </w:rPr>
        <w:t>Any person who constructs or uses a stationary blind does not have any proprietary right-of-ownership to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Portable blinds. </w:t>
      </w:r>
      <w:r>
        <w:rPr>
          <w:rFonts w:ascii="Times New Roman" w:hAnsi="Times New Roman"/>
          <w:b w:val="false"/>
          <w:i w:val="false"/>
          <w:color w:val="000000"/>
          <w:sz w:val="22"/>
        </w:rPr>
        <w:t>The construction and use of portable blinds on game management areas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 portable blind may be constructed of any natural or man-made material, as long as it is a self-contained unit capable of being readily moved from one site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use. </w:t>
      </w:r>
      <w:r>
        <w:rPr>
          <w:rFonts w:ascii="Times New Roman" w:hAnsi="Times New Roman"/>
          <w:b w:val="false"/>
          <w:i w:val="false"/>
          <w:color w:val="000000"/>
          <w:sz w:val="22"/>
        </w:rPr>
        <w:t>Portable blinds shall be prohibited from one hour after sunset until midnight each day. Portable blinds that are built on, or are part of, a boat shall be considered as removed from an area when the boat and blind are tied up or moored at an approved access site. No boat shall be anchored away from shore and left unattended unless it is attached to a legal buoy.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Exception—tree blinds. </w:t>
      </w:r>
      <w:r>
        <w:rPr>
          <w:rFonts w:ascii="Times New Roman" w:hAnsi="Times New Roman"/>
          <w:b w:val="false"/>
          <w:i w:val="false"/>
          <w:color w:val="000000"/>
          <w:sz w:val="22"/>
        </w:rPr>
        <w:t>Portable blinds placed in trees and used for purposes other than hunting waterfowl may be left on an area for a continuous period of time beginning seven days prior to the open season for hunting deer or turkey and ending seven days after the final day of that open season. Portable blinds left on game management areas do not guarantee the owner exclusive use of the blind when unattended, or exclusive use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Protection of trees. </w:t>
      </w:r>
      <w:r>
        <w:rPr>
          <w:rFonts w:ascii="Times New Roman" w:hAnsi="Times New Roman"/>
          <w:b w:val="false"/>
          <w:i w:val="false"/>
          <w:color w:val="000000"/>
          <w:sz w:val="22"/>
        </w:rPr>
        <w:t>The use of any spike, nail, pin, or other object that is driven or screwed into a tree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Use of decoys. </w:t>
      </w:r>
      <w:r>
        <w:rPr>
          <w:rFonts w:ascii="Times New Roman" w:hAnsi="Times New Roman"/>
          <w:b w:val="false"/>
          <w:i w:val="false"/>
          <w:color w:val="000000"/>
          <w:sz w:val="22"/>
        </w:rPr>
        <w:t>The use of decoys on any game management area, except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Decoys are prohibited from one hour after sunset until midnight each day, and decoys cannot be left unattended for over 30 minutes between midnight and one hour after sunset. Decoys are considered removed from an area when they are picked up and placed in a boat, vehicle or other container at an approved access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Use of stationary blinds and waterfowl decoys on Pool 14 downstream of the Upper Mississippi River National Wildlife and Fish Refuge (River Mile 502) near Princeton, Iowa, and on Pools 15, 16, 17, and 18 of the Mississippi River. </w:t>
      </w:r>
      <w:r>
        <w:rPr>
          <w:rFonts w:ascii="Times New Roman" w:hAnsi="Times New Roman"/>
          <w:b w:val="false"/>
          <w:i w:val="false"/>
          <w:color w:val="000000"/>
          <w:sz w:val="22"/>
        </w:rPr>
        <w:t>The use of stationary blinds for waterfowl hunting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Trail cameras. </w:t>
      </w:r>
      <w:r>
        <w:rPr>
          <w:rFonts w:ascii="Times New Roman" w:hAnsi="Times New Roman"/>
          <w:b w:val="false"/>
          <w:i w:val="false"/>
          <w:color w:val="000000"/>
          <w:sz w:val="22"/>
        </w:rPr>
        <w:t>Trail cameras are prohibited on game management areas unless specifically authorized by permit or when used directly by the department or its designated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Hunters must register their blind site with the department of natural resources. Registration will be held annually in August. Registration is for a five-year period and requires payment of a fee of $100. The blind registration number must be visibly posted at the blind’s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Blinds must have minimum dimensions of 4 feet by 8 feet and not greater than 500 square feet of floor space, not including a boat hide. The blind must be constructed of biodegradable materials, including nontreated dimensional lumber and nontreated plywood, unless the blind will be removed at the end of the waterfowl season. The use of metal or nylon fasteners, including but not limited to nails, screws, lag bolts, staples and ties, is allowed. Treated lumber, treated plywood, woven wire, chicken wire, cattle panels, tin and sheet metal, vinyl and plastic, and other nonbiodegradable materials are not allowed unless those materials or the entire blind is removed within three days after the close of the waterfowl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and brush removal. </w:t>
      </w:r>
      <w:r>
        <w:rPr>
          <w:rFonts w:ascii="Times New Roman" w:hAnsi="Times New Roman"/>
          <w:b w:val="false"/>
          <w:i w:val="false"/>
          <w:color w:val="000000"/>
          <w:sz w:val="22"/>
        </w:rPr>
        <w:t>The removal of brush or trees, except willows, surrounding any blind is prohibited. Willows and annual vegetation from the blind site may be used to cover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Occupation of blinds. </w:t>
      </w:r>
      <w:r>
        <w:rPr>
          <w:rFonts w:ascii="Times New Roman" w:hAnsi="Times New Roman"/>
          <w:b w:val="false"/>
          <w:i w:val="false"/>
          <w:color w:val="000000"/>
          <w:sz w:val="22"/>
        </w:rPr>
        <w:t>Registrants must occupy their blind site by the opening of shooting time each day to claim the blind site for that day. After that time, unoccupied blind sites will be available to any other hunters. No person may claim or attempt to claim a blind that is legally occupied. No person may harass, in any manner, the occupants of a blind that is legally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Locking blinds. </w:t>
      </w:r>
      <w:r>
        <w:rPr>
          <w:rFonts w:ascii="Times New Roman" w:hAnsi="Times New Roman"/>
          <w:b w:val="false"/>
          <w:i w:val="false"/>
          <w:color w:val="000000"/>
          <w:sz w:val="22"/>
        </w:rPr>
        <w:t>Locking of any blind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Decoys. </w:t>
      </w:r>
      <w:r>
        <w:rPr>
          <w:rFonts w:ascii="Times New Roman" w:hAnsi="Times New Roman"/>
          <w:b w:val="false"/>
          <w:i w:val="false"/>
          <w:color w:val="000000"/>
          <w:sz w:val="22"/>
        </w:rPr>
        <w:t>Decoys may be left out for the entire waterfowl season but must be picked up and removed from the area within three days after the close of the waterfowl season. All jugs and other floating devices used to attract waterfowl are considered decoys.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0557D</w:t>
      </w:r>
      <w:r>
        <w:rPr>
          <w:rFonts w:ascii="Times New Roman" w:hAnsi="Times New Roman"/>
          <w:b w:val="false"/>
          <w:i w:val="false"/>
          <w:color w:val="000000"/>
          <w:sz w:val="16"/>
        </w:rPr>
        <w:t>, IAB 9/2/26, effective 2/1/27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571—51.7</w:t>
      </w:r>
      <w:r>
        <w:rPr>
          <w:rFonts w:ascii="Times New Roman" w:hAnsi="Times New Roman"/>
          <w:b/>
          <w:i w:val="false"/>
          <w:color w:val="000000"/>
          <w:sz w:val="22"/>
        </w:rPr>
        <w:t xml:space="preserve">(481A) </w:t>
      </w:r>
      <w:r>
        <w:rPr>
          <w:rFonts w:ascii="Times New Roman" w:hAnsi="Times New Roman"/>
          <w:b/>
          <w:i w:val="false"/>
          <w:color w:val="000000"/>
          <w:sz w:val="22"/>
        </w:rPr>
        <w:t xml:space="preserve">Trapping on game management areas—marking trap sites. </w:t>
      </w:r>
      <w:r>
        <w:rPr>
          <w:rFonts w:ascii="Times New Roman" w:hAnsi="Times New Roman"/>
          <w:b w:val="false"/>
          <w:i w:val="false"/>
          <w:color w:val="000000"/>
          <w:sz w:val="22"/>
        </w:rPr>
        <w:t>The placement of traps, stakes, flags, markers, or any other item or device to be used for trapping furbearers, or to mark or otherwise claim any site for trapping furbearers on game management areas, is prohibited, except during the open season for taking furbearers other than coyote or raccoon.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571—51.8</w:t>
      </w:r>
      <w:r>
        <w:rPr>
          <w:rFonts w:ascii="Times New Roman" w:hAnsi="Times New Roman"/>
          <w:b/>
          <w:i w:val="false"/>
          <w:color w:val="000000"/>
          <w:sz w:val="22"/>
        </w:rPr>
        <w:t xml:space="preserve">(481A) </w:t>
      </w:r>
      <w:r>
        <w:rPr>
          <w:rFonts w:ascii="Times New Roman" w:hAnsi="Times New Roman"/>
          <w:b/>
          <w:i w:val="false"/>
          <w:color w:val="000000"/>
          <w:sz w:val="22"/>
        </w:rPr>
        <w:t xml:space="preserve">Motor vehicle restrictions. </w:t>
      </w:r>
      <w:r>
        <w:rPr>
          <w:rFonts w:ascii="Times New Roman" w:hAnsi="Times New Roman"/>
          <w:b w:val="false"/>
          <w:i w:val="false"/>
          <w:color w:val="000000"/>
          <w:sz w:val="22"/>
        </w:rPr>
        <w:t>The use of motor vehicles on all game management areas is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Roads and parking lots. </w:t>
      </w:r>
      <w:r>
        <w:rPr>
          <w:rFonts w:ascii="Times New Roman" w:hAnsi="Times New Roman"/>
          <w:b w:val="false"/>
          <w:i w:val="false"/>
          <w:color w:val="000000"/>
          <w:sz w:val="22"/>
        </w:rPr>
        <w:t>Except as otherwise provided in these rules, motor vehicles are prohibited on game management areas except on constructed and designated roads and parking 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Use of motor vehicles by persons with a physical disability. </w:t>
      </w:r>
      <w:r>
        <w:rPr>
          <w:rFonts w:ascii="Times New Roman" w:hAnsi="Times New Roman"/>
          <w:b w:val="false"/>
          <w:i w:val="false"/>
          <w:color w:val="000000"/>
          <w:sz w:val="22"/>
        </w:rPr>
        <w:t xml:space="preserve">Persons with a physical disability may use certain motor vehicles to access specific areas in game management areas, according to restrictions set out in this subrule or otherwise provided for by the department’s other power-driven mobility device (OPDMD) processes, in order to enjoy the same recreational opportunities available to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Reasonable accommodations. </w:t>
      </w:r>
      <w:r>
        <w:rPr>
          <w:rFonts w:ascii="Times New Roman" w:hAnsi="Times New Roman"/>
          <w:b w:val="false"/>
          <w:i w:val="false"/>
          <w:color w:val="000000"/>
          <w:sz w:val="22"/>
        </w:rPr>
        <w:t xml:space="preserve">Each person with a physical disability or mobility impairment may request a reasonable accommodation to game management area staff in order to use an OPDMD within game management areas. Reasonable accommodation requests are considered on a case-by-case basis based on the facts and circumstances and considering need, protection of the permit holder, protection of other users, and protection of natural resources consistent with relevant state and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 xml:space="preserve">Persons with a physical disability or mobility impairment must have a permit issued by game management area staff in order to use a motor vehicle in specific, approved areas within game management areas. One companion may accompany the OPDMD user on the same vehicle if that vehicle is designed for more than one rider; otherwise, the companion must walk.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Exclusive use. </w:t>
      </w:r>
      <w:r>
        <w:rPr>
          <w:rFonts w:ascii="Times New Roman" w:hAnsi="Times New Roman"/>
          <w:b w:val="false"/>
          <w:i w:val="false"/>
          <w:color w:val="000000"/>
          <w:sz w:val="22"/>
        </w:rPr>
        <w:t>The issuance of a permit does not imply that the permittee has exclusive or indiscriminate use of an area. Permittees shall take reasonable care not to unduly interfere with the use of the area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 xml:space="preserve">Except as provided in </w:t>
      </w:r>
      <w:hyperlink r:id="rId11">
        <w:r>
          <w:rPr>
            <w:rStyle w:val="Hyperlink"/>
            <w:rFonts w:ascii="Times New Roman" w:hAnsi="Times New Roman"/>
            <w:b w:val="false"/>
            <w:i w:val="false"/>
            <w:color w:val="000000"/>
            <w:sz w:val="22"/>
          </w:rPr>
          <w:t>51.8(1)</w:t>
        </w:r>
      </w:hyperlink>
      <w:r>
        <w:rPr>
          <w:rFonts w:ascii="Times New Roman" w:hAnsi="Times New Roman"/>
          <w:b w:val="false"/>
          <w:i w:val="false"/>
          <w:color w:val="000000"/>
          <w:sz w:val="22"/>
        </w:rPr>
        <w:t>, the use of a motor vehicle on any game management area by a person without a valid permit, or at any site not approved on a signed map, is prohibited. Permits and maps must be carried by the permittee at any time the permittee is using a motor vehicle on a game management area and must be exhibited to any department employee or law enforcement official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Shooting from motor vehicle. </w:t>
      </w:r>
      <w:r>
        <w:rPr>
          <w:rFonts w:ascii="Times New Roman" w:hAnsi="Times New Roman"/>
          <w:b w:val="false"/>
          <w:i w:val="false"/>
          <w:color w:val="000000"/>
          <w:sz w:val="22"/>
        </w:rPr>
        <w:t>Except where prohibited by law, a person with a physical disability or mobility impairment meeting the conditions of this rule may shoot from a stationary motor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571—51.9</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nontoxic shot on wildlife areas. </w:t>
      </w:r>
      <w:r>
        <w:rPr>
          <w:rFonts w:ascii="Times New Roman" w:hAnsi="Times New Roman"/>
          <w:b w:val="false"/>
          <w:i w:val="false"/>
          <w:color w:val="000000"/>
          <w:sz w:val="22"/>
        </w:rPr>
        <w:t>It shall be unlawful to hunt any migratory game bird or resident game or furbearers, except deer and turkeys, or target shoot with a shotgun while having in one’s possession any shot other than nontoxic shot approved by the U.S. Fish and Wildlife Service on the following wildlife areas: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400"/>
        <w:gridCol w:w="9120"/>
      </w:tblGrid>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County</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Wildlife Area</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Benton</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River Corridor</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Boone</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Harrier Marsh</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Buena Vista</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Calhoun</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South Twin Lake</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Cerro Gordo</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Clay</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All state and federal areas except the Ocheyedan wildlife area target shooting range </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Dickinson</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All state and federal areas except the Spring Run target shooting range </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Emmet</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Franklin</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Greene</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 except Rippey Access and McMahon Access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Guthrie</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McCord Pond, Lakin Slough and Bays Branch</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Hamilton</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Little Wall Lake, Gordon Marsh and Bauer Slough</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Hancock</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Humboldt</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River Corridor</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Jasper</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Chichaqua</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Kossuth</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All state and federal areas </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Osceola</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Palo Alto</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Pocahontas</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 except Kalsow Prairie</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Polk</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Paul Errington Marsh and Chichaqua</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Sac</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 except White Horse Access and Sac City Access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Story</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Hendrickson Marsh and Colo Bog</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Tama</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River Corridor</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Winnebago</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Worth</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r>
        <w:trPr>
          <w:trHeight w:val="195" w:hRule="atLeast"/>
        </w:trPr>
        <w:tc>
          <w:tcPr>
            <w:tcW w:w="240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Wright</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state and federal areas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571—51.10</w:t>
      </w:r>
      <w:r>
        <w:rPr>
          <w:rFonts w:ascii="Times New Roman" w:hAnsi="Times New Roman"/>
          <w:b/>
          <w:i w:val="false"/>
          <w:color w:val="000000"/>
          <w:sz w:val="22"/>
        </w:rPr>
        <w:t xml:space="preserve">(481A) </w:t>
      </w:r>
      <w:r>
        <w:rPr>
          <w:rFonts w:ascii="Times New Roman" w:hAnsi="Times New Roman"/>
          <w:b/>
          <w:i w:val="false"/>
          <w:color w:val="000000"/>
          <w:sz w:val="22"/>
        </w:rPr>
        <w:t xml:space="preserve">Rock climbing and rappelling. </w:t>
      </w:r>
      <w:r>
        <w:rPr>
          <w:rFonts w:ascii="Times New Roman" w:hAnsi="Times New Roman"/>
          <w:b w:val="false"/>
          <w:i w:val="false"/>
          <w:color w:val="000000"/>
          <w:sz w:val="22"/>
        </w:rPr>
        <w:t xml:space="preserve">Rock climbing and rappelling are prohibited at all game management areas except at Indian Bluffs and Pictured Rocks wildlife management areas, Boone Forks wildlife management area only on the abandoned railroad bridge piers, and those authorized by </w:t>
      </w:r>
      <w:hyperlink r:id="rId12">
        <w:r>
          <w:rPr>
            <w:rStyle w:val="Hyperlink"/>
            <w:rFonts w:ascii="Times New Roman" w:hAnsi="Times New Roman"/>
            <w:b w:val="false"/>
            <w:i w:val="false"/>
            <w:color w:val="000000"/>
            <w:sz w:val="22"/>
          </w:rPr>
          <w:t>571—subrule 61.10(12)</w:t>
        </w:r>
      </w:hyperlink>
      <w:r>
        <w:rPr>
          <w:rFonts w:ascii="Times New Roman" w:hAnsi="Times New Roman"/>
          <w:b w:val="false"/>
          <w:i w:val="false"/>
          <w:color w:val="000000"/>
          <w:sz w:val="22"/>
        </w:rPr>
        <w:t>. No one shall place bolts, pitons, or similar anchoring devices at Indian Bluffs or Pictured Rocks unless authorized to do so by the wildlife biologist in charge of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571—51.11</w:t>
      </w:r>
      <w:r>
        <w:rPr>
          <w:rFonts w:ascii="Times New Roman" w:hAnsi="Times New Roman"/>
          <w:b/>
          <w:i w:val="false"/>
          <w:color w:val="000000"/>
          <w:sz w:val="22"/>
        </w:rPr>
        <w:t xml:space="preserve">(481A) </w:t>
      </w:r>
      <w:r>
        <w:rPr>
          <w:rFonts w:ascii="Times New Roman" w:hAnsi="Times New Roman"/>
          <w:b/>
          <w:i w:val="false"/>
          <w:color w:val="000000"/>
          <w:sz w:val="22"/>
        </w:rPr>
        <w:t xml:space="preserve">Camping restrictions. </w:t>
      </w:r>
      <w:r>
        <w:rPr>
          <w:rFonts w:ascii="Times New Roman" w:hAnsi="Times New Roman"/>
          <w:b w:val="false"/>
          <w:i w:val="false"/>
          <w:color w:val="000000"/>
          <w:sz w:val="22"/>
        </w:rPr>
        <w:t>Primitive camping is allowed on all game management areas for a period not to exceed 14 days of consecutive use, unless specific restrictions are posted on site. The department may prohibit or restrict camping at any game management area by the posting of signs stating the applicable restrictions.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456A.24(2)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9/11/62; amended 5/14/75]</w:t>
      </w:r>
    </w:p>
    <w:p>
      <w:pPr>
        <w:spacing w:before="0" w:after="0"/>
        <w:ind w:left="120"/>
        <w:jc w:val="center"/>
      </w:pPr>
      <w:r>
        <w:rPr>
          <w:rFonts w:ascii="Times New Roman" w:hAnsi="Times New Roman"/>
          <w:b w:val="false"/>
          <w:i w:val="false"/>
          <w:color w:val="000000"/>
          <w:sz w:val="21"/>
        </w:rPr>
        <w:t>[Filed 7/13/65]</w:t>
      </w:r>
    </w:p>
    <w:p>
      <w:pPr>
        <w:spacing w:before="0" w:after="0"/>
        <w:ind w:left="120"/>
        <w:jc w:val="center"/>
      </w:pPr>
      <w:r>
        <w:rPr>
          <w:rFonts w:ascii="Times New Roman" w:hAnsi="Times New Roman"/>
          <w:b w:val="false"/>
          <w:i w:val="false"/>
          <w:color w:val="000000"/>
          <w:sz w:val="21"/>
        </w:rPr>
        <w:t>[Filed 3/8/66]</w:t>
      </w:r>
    </w:p>
    <w:p>
      <w:pPr>
        <w:spacing w:before="0" w:after="0"/>
        <w:ind w:left="120"/>
        <w:jc w:val="center"/>
      </w:pPr>
      <w:r>
        <w:rPr>
          <w:rFonts w:ascii="Times New Roman" w:hAnsi="Times New Roman"/>
          <w:b w:val="false"/>
          <w:i w:val="false"/>
          <w:color w:val="000000"/>
          <w:sz w:val="21"/>
        </w:rPr>
        <w:t>[Filed 8/12/70]</w:t>
      </w:r>
    </w:p>
    <w:p>
      <w:pPr>
        <w:spacing w:before="0" w:after="0"/>
        <w:ind w:left="120"/>
        <w:jc w:val="center"/>
      </w:pPr>
      <w:r>
        <w:rPr>
          <w:rFonts w:ascii="Times New Roman" w:hAnsi="Times New Roman"/>
          <w:b w:val="false"/>
          <w:i w:val="false"/>
          <w:color w:val="000000"/>
          <w:sz w:val="21"/>
        </w:rPr>
        <w:t>[Filed 9/14/75]</w:t>
      </w:r>
    </w:p>
    <w:p>
      <w:pPr>
        <w:spacing w:before="0" w:after="0"/>
        <w:ind w:left="120"/>
        <w:jc w:val="center"/>
      </w:pPr>
      <w:r>
        <w:rPr>
          <w:rFonts w:ascii="Times New Roman" w:hAnsi="Times New Roman"/>
          <w:b w:val="false"/>
          <w:i w:val="false"/>
          <w:color w:val="000000"/>
          <w:sz w:val="21"/>
        </w:rPr>
        <w:t>[Filed 6/5/81, Notice 4/1/81—published 6/24/81, effective 7/29/81]</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2/9/83, Notice 11/24/82—published 3/2/83, effective 4/6/83]</w:t>
      </w:r>
    </w:p>
    <w:p>
      <w:pPr>
        <w:spacing w:before="0" w:after="0"/>
        <w:ind w:left="120"/>
        <w:jc w:val="center"/>
      </w:pPr>
      <w:r>
        <w:rPr>
          <w:rFonts w:ascii="Times New Roman" w:hAnsi="Times New Roman"/>
          <w:b w:val="false"/>
          <w:i w:val="false"/>
          <w:color w:val="000000"/>
          <w:sz w:val="21"/>
        </w:rPr>
        <w:t>[Filed 12/2/83, Notice 10/26/83—published 12/21/83, effective 2/1/84]</w:t>
      </w:r>
    </w:p>
    <w:p>
      <w:pPr>
        <w:spacing w:before="0" w:after="0"/>
        <w:ind w:left="120"/>
        <w:jc w:val="center"/>
      </w:pPr>
      <w:r>
        <w:rPr>
          <w:rFonts w:ascii="Times New Roman" w:hAnsi="Times New Roman"/>
          <w:b w:val="false"/>
          <w:i w:val="false"/>
          <w:color w:val="000000"/>
          <w:sz w:val="21"/>
        </w:rPr>
        <w:t>[Filed 7/10/85, Notice 4/24/85—published 7/31/85, effective 9/4/85]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5/13/88, Notice 3/23/88—published 6/1/88, effective 7/6/88]</w:t>
      </w:r>
    </w:p>
    <w:p>
      <w:pPr>
        <w:spacing w:before="0" w:after="0"/>
        <w:ind w:left="120"/>
        <w:jc w:val="center"/>
      </w:pPr>
      <w:r>
        <w:rPr>
          <w:rFonts w:ascii="Times New Roman" w:hAnsi="Times New Roman"/>
          <w:b w:val="false"/>
          <w:i w:val="false"/>
          <w:color w:val="000000"/>
          <w:sz w:val="21"/>
        </w:rPr>
        <w:t>[Filed 7/19/90, Notice 5/30/90—published 8/8/90, effective 9/12/90]</w:t>
      </w:r>
    </w:p>
    <w:p>
      <w:pPr>
        <w:spacing w:before="0" w:after="0"/>
        <w:ind w:left="120"/>
        <w:jc w:val="center"/>
      </w:pPr>
      <w:r>
        <w:rPr>
          <w:rFonts w:ascii="Times New Roman" w:hAnsi="Times New Roman"/>
          <w:b w:val="false"/>
          <w:i w:val="false"/>
          <w:color w:val="000000"/>
          <w:sz w:val="21"/>
        </w:rPr>
        <w:t>[Filed 2/15/91, Notice 12/26/90—published 3/6/91, effective 4/10/91]</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center"/>
      </w:pPr>
      <w:r>
        <w:rPr>
          <w:rFonts w:ascii="Times New Roman" w:hAnsi="Times New Roman"/>
          <w:b w:val="false"/>
          <w:i w:val="false"/>
          <w:color w:val="000000"/>
          <w:sz w:val="21"/>
        </w:rPr>
        <w:t>[Filed 5/20/94, Notice 3/30/94—published 6/8/94, effective 7/13/94]</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emergency 1/7/00—published 1/26/00, effective 1/7/00]</w:t>
      </w:r>
    </w:p>
    <w:p>
      <w:pPr>
        <w:spacing w:before="0" w:after="0"/>
        <w:ind w:left="120"/>
        <w:jc w:val="center"/>
      </w:pPr>
      <w:r>
        <w:rPr>
          <w:rFonts w:ascii="Times New Roman" w:hAnsi="Times New Roman"/>
          <w:b w:val="false"/>
          <w:i w:val="false"/>
          <w:color w:val="000000"/>
          <w:sz w:val="21"/>
        </w:rPr>
        <w:t>[Filed 5/12/00, Notice 3/8/00—published 5/31/00, effective 7/5/00]</w:t>
      </w:r>
    </w:p>
    <w:p>
      <w:pPr>
        <w:spacing w:before="0" w:after="0"/>
        <w:ind w:left="120"/>
        <w:jc w:val="center"/>
      </w:pPr>
      <w:r>
        <w:rPr>
          <w:rFonts w:ascii="Times New Roman" w:hAnsi="Times New Roman"/>
          <w:b w:val="false"/>
          <w:i w:val="false"/>
          <w:color w:val="000000"/>
          <w:sz w:val="21"/>
        </w:rPr>
        <w:t>[Filed 6/21/01, Notice 5/2/01—published 7/11/01, effective 8/15/01]</w:t>
      </w:r>
    </w:p>
    <w:p>
      <w:pPr>
        <w:spacing w:before="0" w:after="0"/>
        <w:ind w:left="120"/>
        <w:jc w:val="center"/>
      </w:pPr>
      <w:r>
        <w:rPr>
          <w:rFonts w:ascii="Times New Roman" w:hAnsi="Times New Roman"/>
          <w:b w:val="false"/>
          <w:i w:val="false"/>
          <w:color w:val="000000"/>
          <w:sz w:val="21"/>
        </w:rPr>
        <w:t>[Filed 11/9/01, Notice 9/5/01—published 11/28/01, effective 1/2/02]</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emergency 8/15/03 after Notice 5/28/03—published 9/3/03, effective 8/15/03]</w:t>
      </w:r>
    </w:p>
    <w:p>
      <w:pPr>
        <w:spacing w:before="0" w:after="0"/>
        <w:ind w:left="120"/>
        <w:jc w:val="center"/>
      </w:pPr>
      <w:r>
        <w:rPr>
          <w:rFonts w:ascii="Times New Roman" w:hAnsi="Times New Roman"/>
          <w:b w:val="false"/>
          <w:i w:val="false"/>
          <w:color w:val="000000"/>
          <w:sz w:val="21"/>
        </w:rPr>
        <w:t>[Filed 5/20/04, Notice 3/3/04—published 6/9/04, effective 7/14/04]</w:t>
      </w:r>
    </w:p>
    <w:p>
      <w:pPr>
        <w:spacing w:before="0" w:after="0"/>
        <w:ind w:left="120"/>
        <w:jc w:val="center"/>
      </w:pPr>
      <w:r>
        <w:rPr>
          <w:rFonts w:ascii="Times New Roman" w:hAnsi="Times New Roman"/>
          <w:b w:val="false"/>
          <w:i w:val="false"/>
          <w:color w:val="000000"/>
          <w:sz w:val="21"/>
        </w:rPr>
        <w:t>[Filed 11/17/04, Notice 9/1/04—published 12/8/04, effective 1/12/05]</w:t>
      </w:r>
    </w:p>
    <w:p>
      <w:pPr>
        <w:spacing w:before="0" w:after="0"/>
        <w:ind w:left="120"/>
        <w:jc w:val="center"/>
      </w:pPr>
      <w:r>
        <w:rPr>
          <w:rFonts w:ascii="Times New Roman" w:hAnsi="Times New Roman"/>
          <w:b w:val="false"/>
          <w:i w:val="false"/>
          <w:color w:val="000000"/>
          <w:sz w:val="21"/>
        </w:rPr>
        <w:t>[Filed 5/18/05, Notice 3/30/05—published 6/8/05, effective 7/13/05]</w:t>
      </w:r>
    </w:p>
    <w:p>
      <w:pPr>
        <w:spacing w:before="0" w:after="0"/>
        <w:ind w:left="120"/>
        <w:jc w:val="center"/>
      </w:pPr>
      <w:r>
        <w:rPr>
          <w:rFonts w:ascii="Times New Roman" w:hAnsi="Times New Roman"/>
          <w:b w:val="false"/>
          <w:i w:val="false"/>
          <w:color w:val="000000"/>
          <w:sz w:val="21"/>
        </w:rPr>
        <w:t>[Filed 2/8/07, Notice 8/30/06—published 2/28/07, effective 4/4/07]</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[Filed ARC 7917B</w:t>
      </w:r>
      <w:r>
        <w:rPr>
          <w:rFonts w:ascii="Times New Roman" w:hAnsi="Times New Roman"/>
          <w:b w:val="false"/>
          <w:i w:val="false"/>
          <w:color w:val="000000"/>
          <w:sz w:val="21"/>
        </w:rPr>
        <w:t xml:space="preserve"> (Notice ARC 7693B,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3796C</w:t>
      </w:r>
      <w:r>
        <w:rPr>
          <w:rFonts w:ascii="Times New Roman" w:hAnsi="Times New Roman"/>
          <w:b w:val="false"/>
          <w:i w:val="false"/>
          <w:color w:val="000000"/>
          <w:sz w:val="21"/>
        </w:rPr>
        <w:t xml:space="preserve"> (Notice ARC 3627C,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9226C</w:t>
      </w:r>
      <w:r>
        <w:rPr>
          <w:rFonts w:ascii="Times New Roman" w:hAnsi="Times New Roman"/>
          <w:b w:val="false"/>
          <w:i w:val="false"/>
          <w:color w:val="000000"/>
          <w:sz w:val="21"/>
        </w:rPr>
        <w:t xml:space="preserve"> (Notice ARC 8606C, IAB 1/8/25)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ARC 0557D</w:t>
      </w:r>
      <w:r>
        <w:rPr>
          <w:rFonts w:ascii="Times New Roman" w:hAnsi="Times New Roman"/>
          <w:b w:val="false"/>
          <w:i w:val="false"/>
          <w:color w:val="000000"/>
          <w:sz w:val="21"/>
        </w:rPr>
        <w:t xml:space="preserve"> (Notice ARC 0409D, IAB 7/8/26)</w:t>
      </w:r>
      <w:r>
        <w:rPr>
          <w:rFonts w:ascii="Times New Roman" w:hAnsi="Times New Roman"/>
          <w:b w:val="false"/>
          <w:i w:val="false"/>
          <w:color w:val="000000"/>
          <w:sz w:val="21"/>
        </w:rPr>
        <w:t>, IAB 9/2/26, effective 2/1/27]</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G.pdf" Type="http://schemas.openxmlformats.org/officeDocument/2006/relationships/hyperlink" Id="rId6"/>
    <Relationship TargetMode="External" Target="https://www.legis.iowa.gov/docs/ico/chapter/321I.pdf" Type="http://schemas.openxmlformats.org/officeDocument/2006/relationships/hyperlink" Id="rId7"/>
    <Relationship TargetMode="External" Target="https://www.legis.iowa.gov/docs/ico/chapter/481A.6.pdf" Type="http://schemas.openxmlformats.org/officeDocument/2006/relationships/hyperlink" Id="rId8"/>
    <Relationship TargetMode="External" Target="https://www.legis.iowa.gov/docs/ico/chapter/481A.22.pdf" Type="http://schemas.openxmlformats.org/officeDocument/2006/relationships/hyperlink" Id="rId9"/>
    <Relationship TargetMode="External" Target="https://www.legis.iowa.gov/docs/iac/rule/571.51.6.pdf" Type="http://schemas.openxmlformats.org/officeDocument/2006/relationships/hyperlink" Id="rId10"/>
    <Relationship TargetMode="External" Target="https://www.legis.iowa.gov/docs/iac/rule/571.51.8.pdf" Type="http://schemas.openxmlformats.org/officeDocument/2006/relationships/hyperlink" Id="rId11"/>
    <Relationship TargetMode="External" Target="https://www.legis.iowa.gov/docs/iac/rule/571.61.10.pdf" Type="http://schemas.openxmlformats.org/officeDocument/2006/relationships/hyperlink" Id="rId12"/>
    <Relationship TargetMode="External" Target="https://www.legis.iowa.gov/docs/ico/chapter/456A.24.pdf" Type="http://schemas.openxmlformats.org/officeDocument/2006/relationships/hyperlink" Id="rId13"/>
    <Relationship TargetMode="External" Target="https://www.legis.iowa.gov/docs/ico/chapter/481A.6.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