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w:t>
      </w:r>
    </w:p>
    <w:p>
      <w:pPr>
        <w:spacing w:before="0" w:after="0"/>
        <w:ind w:left="120"/>
        <w:jc w:val="center"/>
      </w:pPr>
      <w:r>
        <w:rPr>
          <w:rFonts w:ascii="Times New Roman" w:hAnsi="Times New Roman"/>
          <w:b w:val="false"/>
          <w:i w:val="false"/>
          <w:color w:val="000000"/>
          <w:sz w:val="21"/>
        </w:rPr>
        <w:t>REGULATED VEHICLE, SNOWMOBILE AND VESSEL BONDING</w:t>
      </w:r>
    </w:p>
    <w:p>
      <w:pPr>
        <w:spacing w:before="0" w:after="0"/>
        <w:ind w:left="120"/>
        <w:jc w:val="center"/>
      </w:pPr>
      <w:r>
        <w:rPr>
          <w:rFonts w:ascii="Times New Roman" w:hAnsi="Times New Roman"/>
          <w:b w:val="false"/>
          <w:i w:val="false"/>
          <w:color w:val="000000"/>
          <w:sz w:val="14"/>
        </w:rPr>
        <w:t>[Prior to 12/31/86, Conservation Commission[290] Ch 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571—50.1</w:t>
      </w:r>
      <w:r>
        <w:rPr>
          <w:rFonts w:ascii="Times New Roman" w:hAnsi="Times New Roman"/>
          <w:b/>
          <w:i w:val="false"/>
          <w:color w:val="000000"/>
          <w:sz w:val="22"/>
        </w:rPr>
        <w:t xml:space="preserve">(321G,321I)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“All-terrain vehicle”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“Off-road motorcycle”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“Off-road utility vehicle”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vehicle” </w:t>
      </w:r>
      <w:r>
        <w:rPr>
          <w:rFonts w:ascii="Times New Roman" w:hAnsi="Times New Roman"/>
          <w:b w:val="false"/>
          <w:i w:val="false"/>
          <w:color w:val="000000"/>
          <w:sz w:val="22"/>
        </w:rPr>
        <w:t>means all-terrain vehicles, off-road motorcycles, and off-road utility vehicles, either collectively or individually. For purposes of this chapter only, “regulated vehicle” shall also include a snowmobile.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“Snowmobile”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321G.1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“Vessel”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462A.2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“Watercraft”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462A.2</w:t>
        </w:r>
      </w:hyperlink>
      <w:r>
        <w:rPr>
          <w:rFonts w:ascii="Times New Roman" w:hAnsi="Times New Roman"/>
          <w:b w:val="false"/>
          <w:i w:val="false"/>
          <w:color w:val="000000"/>
          <w:sz w:val="22"/>
        </w:rPr>
        <w:t xml:space="preserve">. Docks, defined in and regulated by </w:t>
      </w:r>
      <w:hyperlink r:id="rId11">
        <w:r>
          <w:rPr>
            <w:rStyle w:val="Hyperlink"/>
            <w:rFonts w:ascii="Times New Roman" w:hAnsi="Times New Roman"/>
            <w:b w:val="false"/>
            <w:i w:val="false"/>
            <w:color w:val="000000"/>
            <w:sz w:val="22"/>
          </w:rPr>
          <w:t>571—Chapter 16</w:t>
        </w:r>
      </w:hyperlink>
      <w:r>
        <w:rPr>
          <w:rFonts w:ascii="Times New Roman" w:hAnsi="Times New Roman"/>
          <w:b w:val="false"/>
          <w:i w:val="false"/>
          <w:color w:val="000000"/>
          <w:sz w:val="22"/>
        </w:rPr>
        <w:t>, are not watercraft.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REGULATED VEHICLES</w:t>
      </w:r>
    </w:p>
    <w:p>
      <w:pPr>
        <w:spacing w:before="0" w:after="0"/>
        <w:ind w:left="120"/>
        <w:jc w:val="both"/>
      </w:pPr>
      <w:r>
        <w:rPr>
          <w:rFonts w:ascii="Times New Roman" w:hAnsi="Times New Roman"/>
          <w:b/>
          <w:i w:val="false"/>
          <w:color w:val="000000"/>
          <w:sz w:val="22"/>
        </w:rPr>
        <w:t>571—50.2</w:t>
      </w:r>
      <w:r>
        <w:rPr>
          <w:rFonts w:ascii="Times New Roman" w:hAnsi="Times New Roman"/>
          <w:b/>
          <w:i w:val="false"/>
          <w:color w:val="000000"/>
          <w:sz w:val="22"/>
        </w:rPr>
        <w:t xml:space="preserve">(321G,321I) </w:t>
      </w:r>
      <w:r>
        <w:rPr>
          <w:rFonts w:ascii="Times New Roman" w:hAnsi="Times New Roman"/>
          <w:b/>
          <w:i w:val="false"/>
          <w:color w:val="000000"/>
          <w:sz w:val="22"/>
        </w:rPr>
        <w:t xml:space="preserve">Bond required before issuance of title or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An applicant for certificate of title who cannot provide the supporting documents required in 571—Chapters </w:t>
      </w:r>
      <w:hyperlink r:id="rId12">
        <w:r>
          <w:rPr>
            <w:rStyle w:val="Hyperlink"/>
            <w:rFonts w:ascii="Times New Roman" w:hAnsi="Times New Roman"/>
            <w:b w:val="false"/>
            <w:i w:val="false"/>
            <w:color w:val="000000"/>
            <w:sz w:val="22"/>
          </w:rPr>
          <w:t>46</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47</w:t>
        </w:r>
      </w:hyperlink>
      <w:r>
        <w:rPr>
          <w:rFonts w:ascii="Times New Roman" w:hAnsi="Times New Roman"/>
          <w:b w:val="false"/>
          <w:i w:val="false"/>
          <w:color w:val="000000"/>
          <w:sz w:val="22"/>
        </w:rPr>
        <w:t xml:space="preserve"> (implementing Iowa Code chapters </w:t>
      </w:r>
      <w:hyperlink r:id="rId14">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shall be required to complete the following procedures as a condition to obtaining a title and registration. The procedures described are in addition to the regular procedures for titling and registering a regulated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request form to the department on a form provided by the department. The request form shall include a copy of the written proof of ownership at the time the vehicle was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contact the department and provide identifying information in regard to the regulated vehicle. The required identifying information shall include the manufacturer identification number; registration sticker (if affixed to the regulated vehicle); photographs of the regulated vehicle that show the front, rear, and one side of the regulated vehicle; and any additional information about the regulated vehicle as may be requested by the department. If no manufacturer identification number is currently affixed to the regulated vehicle, the applicant shall complete the department’s procedure for obtaining such number, and the assigned number shall be affixed before the applicant may proceed with the registration application process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The department, upon receipt of sufficient identifying information from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Search the department’s registration records to determine whether there is an owner of record for the regulated vehicle and whether the regulated vehicle has been reported stolen or embezzled;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a record of prior ownership in the department’s registration records, mail the release of ownership and rights to the regulated vehicle by first-class mail to the owner of record at the owner’s last-known address. The notice shall state that the owner of record may assert the owner’s right to claim the regulated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w:t>
      </w:r>
      <w:r>
        <w:rPr>
          <w:rFonts w:ascii="Times New Roman" w:hAnsi="Times New Roman"/>
          <w:b w:val="false"/>
          <w:i w:val="false"/>
          <w:color w:val="000000"/>
          <w:sz w:val="22"/>
        </w:rPr>
        <w:t> </w:t>
      </w:r>
      <w:r>
        <w:rPr>
          <w:rFonts w:ascii="Times New Roman" w:hAnsi="Times New Roman"/>
          <w:b w:val="false"/>
          <w:i/>
          <w:color w:val="000000"/>
          <w:sz w:val="22"/>
        </w:rPr>
        <w:t xml:space="preserve">Letter of release. </w:t>
      </w:r>
      <w:r>
        <w:rPr>
          <w:rFonts w:ascii="Times New Roman" w:hAnsi="Times New Roman"/>
          <w:b w:val="false"/>
          <w:i w:val="false"/>
          <w:color w:val="000000"/>
          <w:sz w:val="22"/>
        </w:rPr>
        <w:t>Upon receipt of the letter of release by the last registered owner or legal representative, the department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approval notification to the applicant and the county recorder that there is sufficient evidence to indicate that the applicant is the rightful owner and that there is no known unsatisfied security interest, so the regulated vehicle may be registered and titled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appropriate authorities of the owner’s claim to the regulated vehicle. No further action will be completed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w:t>
      </w:r>
      <w:r>
        <w:rPr>
          <w:rFonts w:ascii="Times New Roman" w:hAnsi="Times New Roman"/>
          <w:b w:val="false"/>
          <w:i w:val="false"/>
          <w:color w:val="000000"/>
          <w:sz w:val="22"/>
        </w:rPr>
        <w:t> </w:t>
      </w:r>
      <w:r>
        <w:rPr>
          <w:rFonts w:ascii="Times New Roman" w:hAnsi="Times New Roman"/>
          <w:b w:val="false"/>
          <w:i/>
          <w:color w:val="000000"/>
          <w:sz w:val="22"/>
        </w:rPr>
        <w:t xml:space="preserve">Letter of release.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department receives no response from the owner of record within 30 days after the date of mailing or if the post office returns the notice to the department as undeliverable, the department will continue processing the bond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the current retail value for the same type of regulated vehicle for which the registration is being sought with documentation from J.D. Power (formerly the National Automobile Dealers Association, or NADA) or Kelley Blue Book or through competitive pricing found on the Internet, or the applicant may submit an appraisal of the regulated vehicle by a licensed regulated vehicle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current retail value of the regulated vehicle is $1,000 or less as determined by the department and is over 15 years old, the department may allow the registration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current retail value of the regulated vehicle as determined by the department is more than $1,000, the department will notify the applicant that the following requirements are needed to proceed with the bonding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registration application form (as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Inspection of the regulated vehicle by a representative of the department, with a signature required on the registration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complete surety bond form (as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If the department determines that the applicant has complied with this rule, that there is sufficient evidence to indicate that the applicant is the rightful owner, and that there is no known unsatisfied security interest, the department shall forward the original application to the county recorder and notify the applicant that the regulated vehicle may be registered and titled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50.2(6)</w:t>
      </w:r>
      <w:r>
        <w:rPr>
          <w:rFonts w:ascii="Times New Roman" w:hAnsi="Times New Roman"/>
          <w:b w:val="false"/>
          <w:i w:val="false"/>
          <w:color w:val="000000"/>
          <w:sz w:val="22"/>
        </w:rPr>
        <w:t> </w:t>
      </w:r>
      <w:r>
        <w:rPr>
          <w:rFonts w:ascii="Times New Roman" w:hAnsi="Times New Roman"/>
          <w:b w:val="false"/>
          <w:i/>
          <w:color w:val="000000"/>
          <w:sz w:val="22"/>
        </w:rPr>
        <w:t xml:space="preserve">Disapproval. </w:t>
      </w:r>
      <w:r>
        <w:rPr>
          <w:rFonts w:ascii="Times New Roman" w:hAnsi="Times New Roman"/>
          <w:b w:val="false"/>
          <w:i w:val="false"/>
          <w:color w:val="000000"/>
          <w:sz w:val="22"/>
        </w:rPr>
        <w:t>If the department determines that the applicant has not complied with this rule, that there is sufficient evidence to indicate that the applicant may not be the rightful owner, that there is an unsatisfied security interest, or that the owner of record asserts a claim for the regulated vehicle, the department shall not authorize issuance of a certificate of title or registration receipt and shall notify the applicant in writing of the reason(s).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 xml:space="preserve">DIVISION II </w:t>
      </w:r>
    </w:p>
    <w:p>
      <w:pPr>
        <w:pBdr>
          <w:bottom w:space="10"/>
        </w:pBdr>
        <w:spacing w:before="0" w:after="0"/>
        <w:ind w:left="120"/>
        <w:jc w:val="center"/>
      </w:pPr>
      <w:r>
        <w:rPr>
          <w:rFonts w:ascii="Times New Roman" w:hAnsi="Times New Roman"/>
          <w:b w:val="false"/>
          <w:i w:val="false"/>
          <w:color w:val="000000"/>
          <w:sz w:val="16"/>
        </w:rPr>
        <w:t>VESSELS</w:t>
      </w:r>
    </w:p>
    <w:p>
      <w:pPr>
        <w:spacing w:before="0" w:after="0"/>
        <w:ind w:left="120"/>
        <w:jc w:val="both"/>
      </w:pPr>
      <w:r>
        <w:rPr>
          <w:rFonts w:ascii="Times New Roman" w:hAnsi="Times New Roman"/>
          <w:b/>
          <w:i w:val="false"/>
          <w:color w:val="000000"/>
          <w:sz w:val="22"/>
        </w:rPr>
        <w:t>571—50.3</w:t>
      </w:r>
      <w:r>
        <w:rPr>
          <w:rFonts w:ascii="Times New Roman" w:hAnsi="Times New Roman"/>
          <w:b/>
          <w:i w:val="false"/>
          <w:color w:val="000000"/>
          <w:sz w:val="22"/>
        </w:rPr>
        <w:t xml:space="preserve">(462A) </w:t>
      </w:r>
      <w:r>
        <w:rPr>
          <w:rFonts w:ascii="Times New Roman" w:hAnsi="Times New Roman"/>
          <w:b/>
          <w:i w:val="false"/>
          <w:color w:val="000000"/>
          <w:sz w:val="22"/>
        </w:rPr>
        <w:t xml:space="preserve">Bond required before issuance of title or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An applicant for certificate of title who cannot provide the supporting documents required in 571—Chapters </w:t>
      </w:r>
      <w:hyperlink r:id="rId16">
        <w:r>
          <w:rPr>
            <w:rStyle w:val="Hyperlink"/>
            <w:rFonts w:ascii="Times New Roman" w:hAnsi="Times New Roman"/>
            <w:b w:val="false"/>
            <w:i w:val="false"/>
            <w:color w:val="000000"/>
            <w:sz w:val="22"/>
          </w:rPr>
          <w:t>46</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47</w:t>
        </w:r>
      </w:hyperlink>
      <w:r>
        <w:rPr>
          <w:rFonts w:ascii="Times New Roman" w:hAnsi="Times New Roman"/>
          <w:b w:val="false"/>
          <w:i w:val="false"/>
          <w:color w:val="000000"/>
          <w:sz w:val="22"/>
        </w:rPr>
        <w:t xml:space="preserve"> (implementing Iowa Code chapters </w:t>
      </w:r>
      <w:hyperlink r:id="rId18">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shall be required to complete the following procedures as a condition to obtaining a title and registration. The procedures described are in addition to the regular procedures for titling and registering a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request form to the department on a form provided by the department. The request form shall include a copy of the written proof of ownership at the time the vessel was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contact the department and provide identifying information in regard to the vessel. The required identifying information shall include the manufacturer identification number; registration sticker (if affixed to the regulated vessel); photographs of the vessel that show the front, rear, and one side of the vessel; and any additional information about the vessel as may be requested by the department. If no manufacturer identification number is currently affixed to the vessel, the applicant shall complete the department’s procedure for obtaining such number, and the assigned number shall be affixed before the applicant may proceed with the registration application process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50.3(2)</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The department, upon receipt of sufficient identifying information from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Search the department’s registration records to determine whether there is an owner of record for the vessel and whether the vessel has been reported stolen or embezzled;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a record of prior ownership in the department’s registration records, mail the release of ownership and rights to the vessel by first-class mail to the owner of record at the owner’s last-known address. The notice shall state that the owner of record may assert the owner’s right to claim the vessel.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50.3(3)</w:t>
      </w:r>
      <w:r>
        <w:rPr>
          <w:rFonts w:ascii="Times New Roman" w:hAnsi="Times New Roman"/>
          <w:b w:val="false"/>
          <w:i w:val="false"/>
          <w:color w:val="000000"/>
          <w:sz w:val="22"/>
        </w:rPr>
        <w:t> </w:t>
      </w:r>
      <w:r>
        <w:rPr>
          <w:rFonts w:ascii="Times New Roman" w:hAnsi="Times New Roman"/>
          <w:b w:val="false"/>
          <w:i/>
          <w:color w:val="000000"/>
          <w:sz w:val="22"/>
        </w:rPr>
        <w:t xml:space="preserve">Letter of release. </w:t>
      </w:r>
      <w:r>
        <w:rPr>
          <w:rFonts w:ascii="Times New Roman" w:hAnsi="Times New Roman"/>
          <w:b w:val="false"/>
          <w:i w:val="false"/>
          <w:color w:val="000000"/>
          <w:sz w:val="22"/>
        </w:rPr>
        <w:t>Upon receipt of the letter of release by the last registered owner or legal representative, the department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approval notification to the applicant and the county recorder that there is sufficient evidence to indicate that the applicant is the rightful owner and that there is no known unsatisfied security interest, so the vessel may be registered and titled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appropriate authorities of the owner’s claim to the vessel. No further action will be completed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50.3(4)</w:t>
      </w:r>
      <w:r>
        <w:rPr>
          <w:rFonts w:ascii="Times New Roman" w:hAnsi="Times New Roman"/>
          <w:b w:val="false"/>
          <w:i w:val="false"/>
          <w:color w:val="000000"/>
          <w:sz w:val="22"/>
        </w:rPr>
        <w:t> </w:t>
      </w:r>
      <w:r>
        <w:rPr>
          <w:rFonts w:ascii="Times New Roman" w:hAnsi="Times New Roman"/>
          <w:b w:val="false"/>
          <w:i/>
          <w:color w:val="000000"/>
          <w:sz w:val="22"/>
        </w:rPr>
        <w:t xml:space="preserve">Letter of release.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department receives no response from the owner of record within 30 days after the date of mailing or if the post office returns the notice to the department as undeliverable, the department will continue processing the bond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the current retail value for the same type of vessel for which the registration is being sought with documentation from J.D. Power (formerly NADA) or Kelley Blue Book or through competitive pricing found on the Internet, or the applicant may submit an appraisal of the vessel by a licensed vessel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current retail value of the vessel is $1,000 or less as determined by the department and is over 15 years old, the department may allow the registration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current retail value of the vessel as determined by the department is more than $1,000, the department will notify the applicant that the following requirements are needed to proceed with the bonding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registration application form (as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Inspection of the vessel by a representative of the department, with a signature required on the registration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complete surety bond form (as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If the department determines that the applicant has complied with this rule, that there is sufficient evidence to indicate that the applicant is the rightful owner, and that there is no known unsatisfied security interest, the department shall forward the original application to the county recorder and notify the applicant that the vessel may be registered and titled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w:t>
      </w:r>
      <w:r>
        <w:rPr>
          <w:rFonts w:ascii="Times New Roman" w:hAnsi="Times New Roman"/>
          <w:b w:val="false"/>
          <w:i w:val="false"/>
          <w:color w:val="000000"/>
          <w:sz w:val="22"/>
        </w:rPr>
        <w:t> </w:t>
      </w:r>
      <w:r>
        <w:rPr>
          <w:rFonts w:ascii="Times New Roman" w:hAnsi="Times New Roman"/>
          <w:b w:val="false"/>
          <w:i/>
          <w:color w:val="000000"/>
          <w:sz w:val="22"/>
        </w:rPr>
        <w:t xml:space="preserve">Disapproval. </w:t>
      </w:r>
      <w:r>
        <w:rPr>
          <w:rFonts w:ascii="Times New Roman" w:hAnsi="Times New Roman"/>
          <w:b w:val="false"/>
          <w:i w:val="false"/>
          <w:color w:val="000000"/>
          <w:sz w:val="22"/>
        </w:rPr>
        <w:t>If the department determines that the applicant has not complied with this rule, that there is sufficient evidence to indicate that the applicant may not be the rightful owner, that there is an unsatisfied security interest, or that the owner of record asserts a claim for the vessel, the department shall not authorize issuance of a certificate of title or registration receipt and shall notify the applicant in writing of the reason(s).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0">
        <w:r>
          <w:rPr>
            <w:rStyle w:val="Hyperlink"/>
            <w:rFonts w:ascii="Times New Roman" w:hAnsi="Times New Roman"/>
            <w:b w:val="false"/>
            <w:i w:val="false"/>
            <w:color w:val="000000"/>
            <w:sz w:val="22"/>
          </w:rPr>
          <w:t>321I.31(9)</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321G.29(9)</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462A.5A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1/5/71; amended 12/15/71, 2/13/73]</w:t>
      </w:r>
    </w:p>
    <w:p>
      <w:pPr>
        <w:spacing w:before="0" w:after="0"/>
        <w:ind w:left="120"/>
        <w:jc w:val="center"/>
      </w:pPr>
      <w:r>
        <w:rPr>
          <w:rFonts w:ascii="Times New Roman" w:hAnsi="Times New Roman"/>
          <w:b w:val="false"/>
          <w:i w:val="false"/>
          <w:color w:val="000000"/>
          <w:sz w:val="21"/>
        </w:rPr>
        <w:t>[Filed 9/5/80, Notice 7/23/80—published 10/1/80, effective 11/5/80]</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3/2/90, Notice 12/27/89—published 3/21/90, effective 4/25/90]</w:t>
      </w:r>
    </w:p>
    <w:p>
      <w:pPr>
        <w:spacing w:before="0" w:after="0"/>
        <w:ind w:left="120"/>
        <w:jc w:val="center"/>
      </w:pPr>
      <w:r>
        <w:rPr>
          <w:rFonts w:ascii="Times New Roman" w:hAnsi="Times New Roman"/>
          <w:b w:val="false"/>
          <w:i w:val="false"/>
          <w:color w:val="000000"/>
          <w:sz w:val="21"/>
        </w:rPr>
        <w:t>[Filed 9/8/95, Notice 7/5/95—published 9/27/95, effective 11/1/95]</w:t>
      </w:r>
    </w:p>
    <w:p>
      <w:pPr>
        <w:spacing w:before="0" w:after="0"/>
        <w:ind w:left="120"/>
        <w:jc w:val="center"/>
      </w:pPr>
      <w:r>
        <w:rPr>
          <w:rFonts w:ascii="Times New Roman" w:hAnsi="Times New Roman"/>
          <w:b w:val="false"/>
          <w:i w:val="false"/>
          <w:color w:val="000000"/>
          <w:sz w:val="21"/>
        </w:rPr>
        <w:t>[Filed 3/14/03, Notice 10/30/02—published 4/2/03, effective 7/1/03]</w:t>
      </w:r>
    </w:p>
    <w:p>
      <w:pPr>
        <w:spacing w:before="0" w:after="0"/>
        <w:ind w:left="120"/>
        <w:jc w:val="center"/>
      </w:pPr>
      <w:r>
        <w:rPr>
          <w:rFonts w:ascii="Times New Roman" w:hAnsi="Times New Roman"/>
          <w:b w:val="false"/>
          <w:i w:val="false"/>
          <w:color w:val="000000"/>
          <w:sz w:val="21"/>
        </w:rPr>
        <w:t>[Filed 8/13/04, Notice 6/9/04—published 9/1/04, effective 10/6/04]</w:t>
      </w:r>
    </w:p>
    <w:p>
      <w:pPr>
        <w:spacing w:before="0" w:after="0"/>
        <w:ind w:left="120"/>
        <w:jc w:val="center"/>
      </w:pPr>
      <w:r>
        <w:rPr>
          <w:rFonts w:ascii="Times New Roman" w:hAnsi="Times New Roman"/>
          <w:b w:val="false"/>
          <w:i w:val="false"/>
          <w:color w:val="000000"/>
          <w:sz w:val="21"/>
        </w:rPr>
        <w:t>[Filed ARC 8880B</w:t>
      </w:r>
      <w:r>
        <w:rPr>
          <w:rFonts w:ascii="Times New Roman" w:hAnsi="Times New Roman"/>
          <w:b w:val="false"/>
          <w:i w:val="false"/>
          <w:color w:val="000000"/>
          <w:sz w:val="21"/>
        </w:rPr>
        <w:t xml:space="preserve"> (Notice ARC 8732B, IAB 5/5/10)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9225C</w:t>
      </w:r>
      <w:r>
        <w:rPr>
          <w:rFonts w:ascii="Times New Roman" w:hAnsi="Times New Roman"/>
          <w:b w:val="false"/>
          <w:i w:val="false"/>
          <w:color w:val="000000"/>
          <w:sz w:val="21"/>
        </w:rPr>
        <w:t xml:space="preserve"> (Notice ARC 8605C,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I.1.pdf" Type="http://schemas.openxmlformats.org/officeDocument/2006/relationships/hyperlink" Id="rId5"/>
    <Relationship TargetMode="External" Target="https://www.legis.iowa.gov/docs/ico/chapter/321I.1.pdf" Type="http://schemas.openxmlformats.org/officeDocument/2006/relationships/hyperlink" Id="rId6"/>
    <Relationship TargetMode="External" Target="https://www.legis.iowa.gov/docs/ico/chapter/321I.1.pdf" Type="http://schemas.openxmlformats.org/officeDocument/2006/relationships/hyperlink" Id="rId7"/>
    <Relationship TargetMode="External" Target="https://www.legis.iowa.gov/docs/ico/chapter/321G.1.pdf" Type="http://schemas.openxmlformats.org/officeDocument/2006/relationships/hyperlink" Id="rId8"/>
    <Relationship TargetMode="External" Target="https://www.legis.iowa.gov/docs/ico/chapter/462A.2.pdf" Type="http://schemas.openxmlformats.org/officeDocument/2006/relationships/hyperlink" Id="rId9"/>
    <Relationship TargetMode="External" Target="https://www.legis.iowa.gov/docs/ico/chapter/462A.2.pdf" Type="http://schemas.openxmlformats.org/officeDocument/2006/relationships/hyperlink" Id="rId10"/>
    <Relationship TargetMode="External" Target="https://www.legis.iowa.gov/docs/iac/chapter/571.16.pdf" Type="http://schemas.openxmlformats.org/officeDocument/2006/relationships/hyperlink" Id="rId11"/>
    <Relationship TargetMode="External" Target="https://www.legis.iowa.gov/docs/iac/chapter/571.46.pdf" Type="http://schemas.openxmlformats.org/officeDocument/2006/relationships/hyperlink" Id="rId12"/>
    <Relationship TargetMode="External" Target="https://www.legis.iowa.gov/docs/iac/chapter/571.47.pdf" Type="http://schemas.openxmlformats.org/officeDocument/2006/relationships/hyperlink" Id="rId13"/>
    <Relationship TargetMode="External" Target="https://www.legis.iowa.gov/docs/ico/chapter/321G.pdf" Type="http://schemas.openxmlformats.org/officeDocument/2006/relationships/hyperlink" Id="rId14"/>
    <Relationship TargetMode="External" Target="https://www.legis.iowa.gov/docs/ico/chapter/321I.pdf" Type="http://schemas.openxmlformats.org/officeDocument/2006/relationships/hyperlink" Id="rId15"/>
    <Relationship TargetMode="External" Target="https://www.legis.iowa.gov/docs/iac/chapter/571.46.pdf" Type="http://schemas.openxmlformats.org/officeDocument/2006/relationships/hyperlink" Id="rId16"/>
    <Relationship TargetMode="External" Target="https://www.legis.iowa.gov/docs/iac/chapter/571.47.pdf" Type="http://schemas.openxmlformats.org/officeDocument/2006/relationships/hyperlink" Id="rId17"/>
    <Relationship TargetMode="External" Target="https://www.legis.iowa.gov/docs/ico/chapter/321G.pdf" Type="http://schemas.openxmlformats.org/officeDocument/2006/relationships/hyperlink" Id="rId18"/>
    <Relationship TargetMode="External" Target="https://www.legis.iowa.gov/docs/ico/chapter/321I.pdf" Type="http://schemas.openxmlformats.org/officeDocument/2006/relationships/hyperlink" Id="rId19"/>
    <Relationship TargetMode="External" Target="https://www.legis.iowa.gov/docs/ico/chapter/321I.31.pdf" Type="http://schemas.openxmlformats.org/officeDocument/2006/relationships/hyperlink" Id="rId20"/>
    <Relationship TargetMode="External" Target="https://www.legis.iowa.gov/docs/ico/chapter/321G.29.pdf" Type="http://schemas.openxmlformats.org/officeDocument/2006/relationships/hyperlink" Id="rId21"/>
    <Relationship TargetMode="External" Target="https://www.legis.iowa.gov/docs/ico/chapter/462A.5A.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