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SPECIAL EVENTS AND FIREWORKS DISPLAYS</w:t>
      </w:r>
    </w:p>
    <w:p>
      <w:pPr>
        <w:spacing w:before="0" w:after="0"/>
        <w:ind w:left="120"/>
        <w:jc w:val="center"/>
      </w:pPr>
      <w:r>
        <w:rPr>
          <w:rFonts w:ascii="Times New Roman" w:hAnsi="Times New Roman"/>
          <w:b w:val="false"/>
          <w:i w:val="false"/>
          <w:color w:val="000000"/>
          <w:sz w:val="14"/>
        </w:rPr>
        <w:t>[Prior to 12/31/86, Conservation Commission[290] Ch 35]</w:t>
      </w:r>
    </w:p>
    <w:p>
      <w:pPr>
        <w:spacing w:before="0" w:after="0"/>
        <w:ind w:left="120"/>
        <w:jc w:val="center"/>
      </w:pPr>
      <w:r>
        <w:rPr>
          <w:rFonts w:ascii="Times New Roman" w:hAnsi="Times New Roman"/>
          <w:b w:val="false"/>
          <w:i w:val="false"/>
          <w:color w:val="000000"/>
          <w:sz w:val="14"/>
        </w:rPr>
        <w:t>[Prior to 6/1/11, see also 571—Chs 65 and 88 and subrule 61.7(16)]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571—44.1</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Scope. </w:t>
      </w:r>
      <w:r>
        <w:rPr>
          <w:rFonts w:ascii="Times New Roman" w:hAnsi="Times New Roman"/>
          <w:b w:val="false"/>
          <w:i w:val="false"/>
          <w:color w:val="000000"/>
          <w:sz w:val="22"/>
        </w:rPr>
        <w:t>The purpose of this chapter is to provide rules on the issuance of permits for special events and fireworks displays held on public land, waters, and ice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571—44.2</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postsecondary institution or program” </w:t>
      </w:r>
      <w:r>
        <w:rPr>
          <w:rFonts w:ascii="Times New Roman" w:hAnsi="Times New Roman"/>
          <w:b w:val="false"/>
          <w:i w:val="false"/>
          <w:color w:val="000000"/>
          <w:sz w:val="22"/>
        </w:rPr>
        <w:t>means an institution or program listed in the U.S. Department of Education’s database of accredited postsecondary institutions and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processing fee” </w:t>
      </w:r>
      <w:r>
        <w:rPr>
          <w:rFonts w:ascii="Times New Roman" w:hAnsi="Times New Roman"/>
          <w:b w:val="false"/>
          <w:i w:val="false"/>
          <w:color w:val="000000"/>
          <w:sz w:val="22"/>
        </w:rPr>
        <w:t>means the fee collected for the processing of each special event application that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“ATV”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321I.1(1)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“Bass fishing tournament”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483A.39</w:t>
        </w:r>
      </w:hyperlink>
      <w:r>
        <w:rPr>
          <w:rFonts w:ascii="Times New Roman" w:hAnsi="Times New Roman"/>
          <w:b w:val="false"/>
          <w:i w:val="false"/>
          <w:color w:val="000000"/>
          <w:sz w:val="22"/>
        </w:rPr>
        <w:t>. For purposes of this chapter, “bass fishing tournament” is included in the definition of “special event”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“Catfish fishing tournament” </w:t>
      </w:r>
      <w:r>
        <w:rPr>
          <w:rFonts w:ascii="Times New Roman" w:hAnsi="Times New Roman"/>
          <w:b w:val="false"/>
          <w:i w:val="false"/>
          <w:color w:val="000000"/>
          <w:sz w:val="22"/>
        </w:rPr>
        <w:t>means an event with the purpose of fishing for catfish from boats that meets the definition of “fishing tournament.” For purposes of this chapter, “catfish fishing tournament” is included in the definition of “special event”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special events application system” </w:t>
      </w:r>
      <w:r>
        <w:rPr>
          <w:rFonts w:ascii="Times New Roman" w:hAnsi="Times New Roman"/>
          <w:b w:val="false"/>
          <w:i w:val="false"/>
          <w:color w:val="000000"/>
          <w:sz w:val="22"/>
        </w:rPr>
        <w:t>means the web-based system used by applicants to submit applications for special events as permitted under this chapter. Approved applications will be placed on a calendar of events web page, accessible from the department’s homepage, to inform the general public of scheduled events on public, or when applicable, private, land, water, and 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and retriever meet or trial” </w:t>
      </w:r>
      <w:r>
        <w:rPr>
          <w:rFonts w:ascii="Times New Roman" w:hAnsi="Times New Roman"/>
          <w:b w:val="false"/>
          <w:i w:val="false"/>
          <w:color w:val="000000"/>
          <w:sz w:val="22"/>
        </w:rPr>
        <w:t xml:space="preserve">means the same as described in Iowa Code section </w:t>
      </w:r>
      <w:hyperlink r:id="rId7">
        <w:r>
          <w:rPr>
            <w:rStyle w:val="Hyperlink"/>
            <w:rFonts w:ascii="Times New Roman" w:hAnsi="Times New Roman"/>
            <w:b w:val="false"/>
            <w:i w:val="false"/>
            <w:color w:val="000000"/>
            <w:sz w:val="22"/>
          </w:rPr>
          <w:t>481A.22</w:t>
        </w:r>
      </w:hyperlink>
      <w:r>
        <w:rPr>
          <w:rFonts w:ascii="Times New Roman" w:hAnsi="Times New Roman"/>
          <w:b w:val="false"/>
          <w:i w:val="false"/>
          <w:color w:val="000000"/>
          <w:sz w:val="22"/>
        </w:rPr>
        <w:t>. For purposes of this chapter, “field and retriever meet or trial” is included in the definition of “special event”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“Fishing tournament” </w:t>
      </w:r>
      <w:r>
        <w:rPr>
          <w:rFonts w:ascii="Times New Roman" w:hAnsi="Times New Roman"/>
          <w:b w:val="false"/>
          <w:i w:val="false"/>
          <w:color w:val="000000"/>
          <w:sz w:val="22"/>
        </w:rPr>
        <w:t>means any organized fishing event, except for department-sponsored fishing events held for educational purposes, involving any of the following: (1) six or more boats or 12 or more participants, except for waters of the Mississippi River, where the number of boats shall be 20 or more and the number of participants shall be 40 or more; (2) an entry fee is charged; or (3) prizes or other inducements are awarded. Additionally, a “virtual fishing tournament,” also known as a “catch-photo-release” tournament, is a fishing tournament where fish are not possessed (i.e., not placed in a live well) by the angler but instead are photographed and released upon catching. An “aggregated virtual fishing tournament” occurs when all participants are present on one body of water simultaneously. A “distributed virtual fishing tournament” occurs when participants are present on two or more bodies of water. Additionally, only five or fewer participants may be present on any one body of water simultaneously, and the tournament may occur over an extended time frame. For purposes of this chapter, “fishing tournament” is included in the definition of “special event”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“Friends group” </w:t>
      </w:r>
      <w:r>
        <w:rPr>
          <w:rFonts w:ascii="Times New Roman" w:hAnsi="Times New Roman"/>
          <w:b w:val="false"/>
          <w:i w:val="false"/>
          <w:color w:val="000000"/>
          <w:sz w:val="22"/>
        </w:rPr>
        <w:t xml:space="preserve">means an organization incorporated under Iowa Code chapter </w:t>
      </w:r>
      <w:hyperlink r:id="rId8">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or prior statutory authority as a not-for-profit group that has been formed solely for the purpose of promoting and enhancing a particular state park, recreation area, or the Iowa state park system, or any combination of the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motorcycle”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“ORM”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321I.1(16)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utility vehicle”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“ORV”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321I.1(17)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document issued by the department that enumerates all stipulations, requirements, and contingencies that the applicant must accept and adhere to throughout the duration of the approved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land” </w:t>
      </w:r>
      <w:r>
        <w:rPr>
          <w:rFonts w:ascii="Times New Roman" w:hAnsi="Times New Roman"/>
          <w:b w:val="false"/>
          <w:i w:val="false"/>
          <w:color w:val="000000"/>
          <w:sz w:val="22"/>
        </w:rPr>
        <w:t>means land under the jurisdiction of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w:t>
      </w:r>
      <w:r>
        <w:rPr>
          <w:rFonts w:ascii="Times New Roman" w:hAnsi="Times New Roman"/>
          <w:b w:val="false"/>
          <w:i w:val="false"/>
          <w:color w:val="000000"/>
          <w:sz w:val="22"/>
        </w:rPr>
        <w:t xml:space="preserve">means the same as “navigable waters” as defined in Iowa Code section </w:t>
      </w:r>
      <w:hyperlink r:id="rId11">
        <w:r>
          <w:rPr>
            <w:rStyle w:val="Hyperlink"/>
            <w:rFonts w:ascii="Times New Roman" w:hAnsi="Times New Roman"/>
            <w:b w:val="false"/>
            <w:i w:val="false"/>
            <w:color w:val="000000"/>
            <w:sz w:val="22"/>
          </w:rPr>
          <w:t>462A.2(22)</w:t>
        </w:r>
      </w:hyperlink>
      <w:r>
        <w:rPr>
          <w:rFonts w:ascii="Times New Roman" w:hAnsi="Times New Roman"/>
          <w:b w:val="false"/>
          <w:i w:val="false"/>
          <w:color w:val="000000"/>
          <w:sz w:val="22"/>
        </w:rPr>
        <w:t xml:space="preserve"> and “waters of this state under the jurisdiction of the commission” as defined in Iowa Code section </w:t>
      </w:r>
      <w:hyperlink r:id="rId12">
        <w:r>
          <w:rPr>
            <w:rStyle w:val="Hyperlink"/>
            <w:rFonts w:ascii="Times New Roman" w:hAnsi="Times New Roman"/>
            <w:b w:val="false"/>
            <w:i w:val="false"/>
            <w:color w:val="000000"/>
            <w:sz w:val="22"/>
          </w:rPr>
          <w:t>462A.2(45)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“Sailing school” </w:t>
      </w:r>
      <w:r>
        <w:rPr>
          <w:rFonts w:ascii="Times New Roman" w:hAnsi="Times New Roman"/>
          <w:b w:val="false"/>
          <w:i w:val="false"/>
          <w:color w:val="000000"/>
          <w:sz w:val="22"/>
        </w:rPr>
        <w:t>means an organization that provides basic and advanced sailing instruction by U.S. Sailing-certified instructors and is affiliated with a yacht club, an accredited postsecondary institution or program, a private or public primary or secondary school, a scouting organization, or a religious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“Snowmobile”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321G.1(26)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event” </w:t>
      </w:r>
      <w:r>
        <w:rPr>
          <w:rFonts w:ascii="Times New Roman" w:hAnsi="Times New Roman"/>
          <w:b w:val="false"/>
          <w:i w:val="false"/>
          <w:color w:val="000000"/>
          <w:sz w:val="22"/>
        </w:rPr>
        <w:t>means either of the following occurring on public land, water, or ice: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 An organized race, tournament, exhibition, demonstration, or other planned event in which an admission fee is charged, prizes are awarded, or competition occurs between participants;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planned event that, due to its nature, potential or actual size, or length, would likely adversely impact the use of the area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“Vessel”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462A.2(40)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SPECIAL EVENTS</w:t>
      </w:r>
    </w:p>
    <w:p>
      <w:pPr>
        <w:spacing w:before="0" w:after="0"/>
        <w:ind w:left="120"/>
        <w:jc w:val="both"/>
      </w:pPr>
      <w:r>
        <w:rPr>
          <w:rFonts w:ascii="Times New Roman" w:hAnsi="Times New Roman"/>
          <w:b/>
          <w:i w:val="false"/>
          <w:color w:val="000000"/>
          <w:sz w:val="22"/>
        </w:rPr>
        <w:t>571—44.3</w:t>
      </w:r>
      <w:r>
        <w:rPr>
          <w:rFonts w:ascii="Times New Roman" w:hAnsi="Times New Roman"/>
          <w:b/>
          <w:i w:val="false"/>
          <w:color w:val="000000"/>
          <w:sz w:val="22"/>
        </w:rPr>
        <w:t xml:space="preserve">(321G,321I,461,462A,481A) </w:t>
      </w:r>
      <w:r>
        <w:rPr>
          <w:rFonts w:ascii="Times New Roman" w:hAnsi="Times New Roman"/>
          <w:b/>
          <w:i w:val="false"/>
          <w:color w:val="000000"/>
          <w:sz w:val="22"/>
        </w:rPr>
        <w:t xml:space="preserve">Permit required. </w:t>
      </w:r>
      <w:r>
        <w:rPr>
          <w:rFonts w:ascii="Times New Roman" w:hAnsi="Times New Roman"/>
          <w:b w:val="false"/>
          <w:i w:val="false"/>
          <w:color w:val="000000"/>
          <w:sz w:val="22"/>
        </w:rPr>
        <w:t>A permit is required in order to conduct a special event on any public land, water, or ice. A permit is also required for a field and retriever meet or trial held on private land.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571—44.4</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Permit conditions. </w:t>
      </w:r>
      <w:r>
        <w:rPr>
          <w:rFonts w:ascii="Times New Roman" w:hAnsi="Times New Roman"/>
          <w:b w:val="false"/>
          <w:i w:val="false"/>
          <w:color w:val="000000"/>
          <w:sz w:val="22"/>
        </w:rPr>
        <w:t>The department may impose permit conditions not specifically covered herein as deemed necessary to protect the resource or to ensure public safety. Such conditions shall be included in the permit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Use of concessionaire. </w:t>
      </w:r>
      <w:r>
        <w:rPr>
          <w:rFonts w:ascii="Times New Roman" w:hAnsi="Times New Roman"/>
          <w:b w:val="false"/>
          <w:i w:val="false"/>
          <w:color w:val="000000"/>
          <w:sz w:val="22"/>
        </w:rPr>
        <w:t xml:space="preserve">If the state park or recreation area where a special event is being held has a concessionaire, the sale of food or drinks shall be governed pursuant to </w:t>
      </w:r>
      <w:hyperlink r:id="rId15">
        <w:r>
          <w:rPr>
            <w:rStyle w:val="Hyperlink"/>
            <w:rFonts w:ascii="Times New Roman" w:hAnsi="Times New Roman"/>
            <w:b w:val="false"/>
            <w:i w:val="false"/>
            <w:color w:val="000000"/>
            <w:sz w:val="22"/>
          </w:rPr>
          <w:t>571—subrule 14.5(3)</w:t>
        </w:r>
      </w:hyperlink>
      <w:r>
        <w:rPr>
          <w:rFonts w:ascii="Times New Roman" w:hAnsi="Times New Roman"/>
          <w:b w:val="false"/>
          <w:i w:val="false"/>
          <w:color w:val="000000"/>
          <w:sz w:val="22"/>
        </w:rPr>
        <w:t>. If a concessionaire chooses not to provide services during the special event, the event sponsor may bring in other concession operations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Special permit conditions for fishing tournaments. </w:t>
      </w:r>
      <w:r>
        <w:rPr>
          <w:rFonts w:ascii="Times New Roman" w:hAnsi="Times New Roman"/>
          <w:b w:val="false"/>
          <w:i w:val="false"/>
          <w:color w:val="000000"/>
          <w:sz w:val="22"/>
        </w:rPr>
        <w:t xml:space="preserve">In addition to permit conditions deemed necessary by rule </w:t>
      </w:r>
      <w:hyperlink r:id="rId16">
        <w:r>
          <w:rPr>
            <w:rStyle w:val="Hyperlink"/>
            <w:rFonts w:ascii="Times New Roman" w:hAnsi="Times New Roman"/>
            <w:b w:val="false"/>
            <w:i w:val="false"/>
            <w:color w:val="000000"/>
            <w:sz w:val="22"/>
          </w:rPr>
          <w:t>571—44.4</w:t>
        </w:r>
      </w:hyperlink>
      <w:r>
        <w:rPr>
          <w:rFonts w:ascii="Times New Roman" w:hAnsi="Times New Roman"/>
          <w:b w:val="false"/>
          <w:i w:val="false"/>
          <w:color w:val="000000"/>
          <w:sz w:val="22"/>
        </w:rPr>
        <w:t xml:space="preserve">(321G,321I,461A,462A,481A), the department may include some or all of the following permit conditions for fishing tournaments: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Release of live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Fish measured to length and released from boat.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Multiple weigh-ins when water temperatures exceed 70°F.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Aerated live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Designated release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Designated release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44.4(3)</w:t>
      </w:r>
      <w:r>
        <w:rPr>
          <w:rFonts w:ascii="Times New Roman" w:hAnsi="Times New Roman"/>
          <w:b w:val="false"/>
          <w:i w:val="false"/>
          <w:color w:val="000000"/>
          <w:sz w:val="22"/>
        </w:rPr>
        <w:t> </w:t>
      </w:r>
      <w:r>
        <w:rPr>
          <w:rFonts w:ascii="Times New Roman" w:hAnsi="Times New Roman"/>
          <w:b w:val="false"/>
          <w:i/>
          <w:color w:val="000000"/>
          <w:sz w:val="22"/>
        </w:rPr>
        <w:t xml:space="preserve">Catfish fishing tournaments. </w:t>
      </w:r>
      <w:r>
        <w:rPr>
          <w:rFonts w:ascii="Times New Roman" w:hAnsi="Times New Roman"/>
          <w:b w:val="false"/>
          <w:i w:val="false"/>
          <w:color w:val="000000"/>
          <w:sz w:val="22"/>
        </w:rPr>
        <w:t>The daily catch limit for a catch and release catfish fishing tournament permitted under this chapter is five catfish per boat regardless of the number of tournament participants on the boat.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44.4(4)</w:t>
      </w:r>
      <w:r>
        <w:rPr>
          <w:rFonts w:ascii="Times New Roman" w:hAnsi="Times New Roman"/>
          <w:b w:val="false"/>
          <w:i w:val="false"/>
          <w:color w:val="000000"/>
          <w:sz w:val="22"/>
        </w:rPr>
        <w:t> </w:t>
      </w:r>
      <w:r>
        <w:rPr>
          <w:rFonts w:ascii="Times New Roman" w:hAnsi="Times New Roman"/>
          <w:b w:val="false"/>
          <w:i/>
          <w:color w:val="000000"/>
          <w:sz w:val="22"/>
        </w:rPr>
        <w:t xml:space="preserve">Bass fishing tournaments. </w:t>
      </w:r>
      <w:r>
        <w:rPr>
          <w:rFonts w:ascii="Times New Roman" w:hAnsi="Times New Roman"/>
          <w:b w:val="false"/>
          <w:i w:val="false"/>
          <w:color w:val="000000"/>
          <w:sz w:val="22"/>
        </w:rPr>
        <w:t xml:space="preserve">In addition to permit conditions deemed necessary under the introductory paragraph of </w:t>
      </w:r>
      <w:hyperlink r:id="rId17">
        <w:r>
          <w:rPr>
            <w:rStyle w:val="Hyperlink"/>
            <w:rFonts w:ascii="Times New Roman" w:hAnsi="Times New Roman"/>
            <w:b w:val="false"/>
            <w:i w:val="false"/>
            <w:color w:val="000000"/>
            <w:sz w:val="22"/>
          </w:rPr>
          <w:t>571—44.4</w:t>
        </w:r>
      </w:hyperlink>
      <w:r>
        <w:rPr>
          <w:rFonts w:ascii="Times New Roman" w:hAnsi="Times New Roman"/>
          <w:b w:val="false"/>
          <w:i w:val="false"/>
          <w:color w:val="000000"/>
          <w:sz w:val="22"/>
        </w:rPr>
        <w:t xml:space="preserve">(321G,321I,461A,462A,481A) or under </w:t>
      </w:r>
      <w:hyperlink r:id="rId18">
        <w:r>
          <w:rPr>
            <w:rStyle w:val="Hyperlink"/>
            <w:rFonts w:ascii="Times New Roman" w:hAnsi="Times New Roman"/>
            <w:b w:val="false"/>
            <w:i w:val="false"/>
            <w:color w:val="000000"/>
            <w:sz w:val="22"/>
          </w:rPr>
          <w:t>44.4(2)</w:t>
        </w:r>
      </w:hyperlink>
      <w:r>
        <w:rPr>
          <w:rFonts w:ascii="Times New Roman" w:hAnsi="Times New Roman"/>
          <w:b w:val="false"/>
          <w:i w:val="false"/>
          <w:color w:val="000000"/>
          <w:sz w:val="22"/>
        </w:rPr>
        <w:t xml:space="preserve">, the permit conditions for bass fishing tournaments shall include those listed in Iowa Code section </w:t>
      </w:r>
      <w:hyperlink r:id="rId19">
        <w:r>
          <w:rPr>
            <w:rStyle w:val="Hyperlink"/>
            <w:rFonts w:ascii="Times New Roman" w:hAnsi="Times New Roman"/>
            <w:b w:val="false"/>
            <w:i w:val="false"/>
            <w:color w:val="000000"/>
            <w:sz w:val="22"/>
          </w:rPr>
          <w:t>483A.39(2)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571—44.5</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The following procedures shall be used to apply for a special event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val="false"/>
          <w:color w:val="000000"/>
          <w:sz w:val="22"/>
        </w:rPr>
        <w:t>Applications are made and submitted through the department’s centralized special events application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val="false"/>
          <w:color w:val="000000"/>
          <w:sz w:val="22"/>
        </w:rPr>
        <w:t>Applications—when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Events for the current year. </w:t>
      </w:r>
      <w:r>
        <w:rPr>
          <w:rFonts w:ascii="Times New Roman" w:hAnsi="Times New Roman"/>
          <w:b w:val="false"/>
          <w:i w:val="false"/>
          <w:color w:val="000000"/>
          <w:sz w:val="22"/>
        </w:rPr>
        <w:t>Applications may be submitted anytime during the calendar year in which the special event is to begin but no later than 30 days prior to the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Events for the next year. </w:t>
      </w:r>
      <w:r>
        <w:rPr>
          <w:rFonts w:ascii="Times New Roman" w:hAnsi="Times New Roman"/>
          <w:b w:val="false"/>
          <w:i w:val="false"/>
          <w:color w:val="000000"/>
          <w:sz w:val="22"/>
        </w:rPr>
        <w:t>Applications for a special event that will start in the next calendar year shall not be submitted until 7 p.m. on September 1 of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44.5(3)</w:t>
      </w:r>
      <w:r>
        <w:rPr>
          <w:rFonts w:ascii="Times New Roman" w:hAnsi="Times New Roman"/>
          <w:b w:val="false"/>
          <w:i w:val="false"/>
          <w:color w:val="000000"/>
          <w:sz w:val="22"/>
        </w:rPr>
        <w:t> </w:t>
      </w:r>
      <w:r>
        <w:rPr>
          <w:rFonts w:ascii="Times New Roman" w:hAnsi="Times New Roman"/>
          <w:b w:val="false"/>
          <w:i w:val="false"/>
          <w:color w:val="000000"/>
          <w:sz w:val="22"/>
        </w:rPr>
        <w:t>The number of special events to be held at any area on the same day may be restricted if deemed necessary to avoid congestion within the area or to protect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44.5(4)</w:t>
      </w:r>
      <w:r>
        <w:rPr>
          <w:rFonts w:ascii="Times New Roman" w:hAnsi="Times New Roman"/>
          <w:b w:val="false"/>
          <w:i w:val="false"/>
          <w:color w:val="000000"/>
          <w:sz w:val="22"/>
        </w:rPr>
        <w:t> </w:t>
      </w:r>
      <w:r>
        <w:rPr>
          <w:rFonts w:ascii="Times New Roman" w:hAnsi="Times New Roman"/>
          <w:b w:val="false"/>
          <w:i w:val="false"/>
          <w:color w:val="000000"/>
          <w:sz w:val="22"/>
        </w:rPr>
        <w:t>One application form may be submitted for all events of the same type being held at the same location within a nine-day period and will be processed as a single application. A distributed virtual fishing tournament may extend beyond the nine-day period and need not be at a single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44.5(5)</w:t>
      </w:r>
      <w:r>
        <w:rPr>
          <w:rFonts w:ascii="Times New Roman" w:hAnsi="Times New Roman"/>
          <w:b w:val="false"/>
          <w:i w:val="false"/>
          <w:color w:val="000000"/>
          <w:sz w:val="22"/>
        </w:rPr>
        <w:t> </w:t>
      </w:r>
      <w:r>
        <w:rPr>
          <w:rFonts w:ascii="Times New Roman" w:hAnsi="Times New Roman"/>
          <w:b w:val="false"/>
          <w:i w:val="false"/>
          <w:color w:val="000000"/>
          <w:sz w:val="22"/>
        </w:rPr>
        <w:t>Submission of an application does not guarantee issuance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44.5(6)</w:t>
      </w:r>
      <w:r>
        <w:rPr>
          <w:rFonts w:ascii="Times New Roman" w:hAnsi="Times New Roman"/>
          <w:b w:val="false"/>
          <w:i w:val="false"/>
          <w:color w:val="000000"/>
          <w:sz w:val="22"/>
        </w:rPr>
        <w:t> </w:t>
      </w:r>
      <w:r>
        <w:rPr>
          <w:rFonts w:ascii="Times New Roman" w:hAnsi="Times New Roman"/>
          <w:b w:val="false"/>
          <w:i w:val="false"/>
          <w:color w:val="000000"/>
          <w:sz w:val="22"/>
        </w:rPr>
        <w:t>Permits are nontransferable.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571—44.6</w:t>
      </w:r>
      <w:r>
        <w:rPr>
          <w:rFonts w:ascii="Times New Roman" w:hAnsi="Times New Roman"/>
          <w:b/>
          <w:i w:val="false"/>
          <w:color w:val="000000"/>
          <w:sz w:val="22"/>
        </w:rPr>
        <w:t xml:space="preserve">(321G,321I,462A) </w:t>
      </w:r>
      <w:r>
        <w:rPr>
          <w:rFonts w:ascii="Times New Roman" w:hAnsi="Times New Roman"/>
          <w:b/>
          <w:i w:val="false"/>
          <w:color w:val="000000"/>
          <w:sz w:val="22"/>
        </w:rPr>
        <w:t xml:space="preserve">Alternate dates for snowmobile, boating, all-terrain vehicle, off-road utility vehicle, and off-road motorcycle special events. </w:t>
      </w:r>
      <w:r>
        <w:rPr>
          <w:rFonts w:ascii="Times New Roman" w:hAnsi="Times New Roman"/>
          <w:b w:val="false"/>
          <w:i w:val="false"/>
          <w:color w:val="000000"/>
          <w:sz w:val="22"/>
        </w:rPr>
        <w:t>An applicant may submit and the department may approve both a primary date and an alternate date for snowmobile, boating, ATV, ORM, and ORV special events. However, if both a primary date and an alternate date are approved, the primary date shall be used unless circumstances beyond the control of the applicant prevent its use. If the alternate date must be used for the event, the applicant shall contact the department representative at least one week in advance of the event date to obtain final approval to use the alternate date. The department representative shall document this approval in writing. Upon approval of an alternate date, the applicant shall notify the local conservation officer, and the department representative will update the calendar of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571—44.7</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Insurance coverage. </w:t>
      </w:r>
      <w:r>
        <w:rPr>
          <w:rFonts w:ascii="Times New Roman" w:hAnsi="Times New Roman"/>
          <w:b w:val="false"/>
          <w:i w:val="false"/>
          <w:color w:val="000000"/>
          <w:sz w:val="22"/>
        </w:rPr>
        <w:t>The applicant shall secure liability insurance for the special event that names the department as an additional insured. Insurance information shall be available at the time the application is submitted. The applicant shall have a copy of the insurance policy available at the event location to present to department personnel if requested. These requirements do not apply to events sponsored by a friends group. The department reserves the right to waive these requirements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571—44.8</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Fees and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administrative fee for each special event application is $25 plus a processing fee, except applications for field and retriever meets and trials, which are subject to the fee described in Iowa Code section </w:t>
      </w:r>
      <w:hyperlink r:id="rId20">
        <w:r>
          <w:rPr>
            <w:rStyle w:val="Hyperlink"/>
            <w:rFonts w:ascii="Times New Roman" w:hAnsi="Times New Roman"/>
            <w:b w:val="false"/>
            <w:i w:val="false"/>
            <w:color w:val="000000"/>
            <w:sz w:val="22"/>
          </w:rPr>
          <w:t>481A.22(1)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the administrative fee for processing special event applications for sailing schools; accredited postsecondary institutions and programs; private and public primary and secondary schools; all department-approved watercraft education courses, ATV education courses, and snowmobile education courses; fishing clinics; friends groups; department-sponsored youth fishing days; and distributed virtual fishing tournaments.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571—44.9</w:t>
      </w:r>
      <w:r>
        <w:rPr>
          <w:rFonts w:ascii="Times New Roman" w:hAnsi="Times New Roman"/>
          <w:b/>
          <w:i w:val="false"/>
          <w:color w:val="000000"/>
          <w:sz w:val="22"/>
        </w:rPr>
        <w:t xml:space="preserve">(321G,461A) </w:t>
      </w:r>
      <w:r>
        <w:rPr>
          <w:rFonts w:ascii="Times New Roman" w:hAnsi="Times New Roman"/>
          <w:b/>
          <w:i w:val="false"/>
          <w:color w:val="000000"/>
          <w:sz w:val="22"/>
        </w:rPr>
        <w:t xml:space="preserve">Structures placed on ice during a special event. </w:t>
      </w:r>
      <w:r>
        <w:rPr>
          <w:rFonts w:ascii="Times New Roman" w:hAnsi="Times New Roman"/>
          <w:b w:val="false"/>
          <w:i w:val="false"/>
          <w:color w:val="000000"/>
          <w:sz w:val="22"/>
        </w:rPr>
        <w:t>The following requirements apply to the placement, construction, or erection of structures on ice during a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44.9(1)</w:t>
      </w:r>
      <w:r>
        <w:rPr>
          <w:rFonts w:ascii="Times New Roman" w:hAnsi="Times New Roman"/>
          <w:b w:val="false"/>
          <w:i w:val="false"/>
          <w:color w:val="000000"/>
          <w:sz w:val="22"/>
        </w:rPr>
        <w:t> </w:t>
      </w:r>
      <w:r>
        <w:rPr>
          <w:rFonts w:ascii="Times New Roman" w:hAnsi="Times New Roman"/>
          <w:b w:val="false"/>
          <w:i/>
          <w:color w:val="000000"/>
          <w:sz w:val="22"/>
        </w:rPr>
        <w:t xml:space="preserve">Vendor information provided on application. </w:t>
      </w:r>
      <w:r>
        <w:rPr>
          <w:rFonts w:ascii="Times New Roman" w:hAnsi="Times New Roman"/>
          <w:b w:val="false"/>
          <w:i w:val="false"/>
          <w:color w:val="000000"/>
          <w:sz w:val="22"/>
        </w:rPr>
        <w:t>The applicant shall identify the names and addresses of any vendors who will be on site during the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44.9(2)</w:t>
      </w:r>
      <w:r>
        <w:rPr>
          <w:rFonts w:ascii="Times New Roman" w:hAnsi="Times New Roman"/>
          <w:b w:val="false"/>
          <w:i w:val="false"/>
          <w:color w:val="000000"/>
          <w:sz w:val="22"/>
        </w:rPr>
        <w:t> </w:t>
      </w:r>
      <w:r>
        <w:rPr>
          <w:rFonts w:ascii="Times New Roman" w:hAnsi="Times New Roman"/>
          <w:b w:val="false"/>
          <w:i/>
          <w:color w:val="000000"/>
          <w:sz w:val="22"/>
        </w:rPr>
        <w:t xml:space="preserve">Owner information. </w:t>
      </w:r>
      <w:r>
        <w:rPr>
          <w:rFonts w:ascii="Times New Roman" w:hAnsi="Times New Roman"/>
          <w:b w:val="false"/>
          <w:i w:val="false"/>
          <w:color w:val="000000"/>
          <w:sz w:val="22"/>
        </w:rPr>
        <w:t>The full name, street address, and city of the structure’s owner shall be displayed legibly on all sides of the structure, in block letters at least four inches in height, and in a color contrasting to the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44.9(3)</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Structures cannot be locked when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44.9(4)</w:t>
      </w:r>
      <w:r>
        <w:rPr>
          <w:rFonts w:ascii="Times New Roman" w:hAnsi="Times New Roman"/>
          <w:b w:val="false"/>
          <w:i w:val="false"/>
          <w:color w:val="000000"/>
          <w:sz w:val="22"/>
        </w:rPr>
        <w:t> </w:t>
      </w:r>
      <w:r>
        <w:rPr>
          <w:rFonts w:ascii="Times New Roman" w:hAnsi="Times New Roman"/>
          <w:b w:val="false"/>
          <w:i/>
          <w:color w:val="000000"/>
          <w:sz w:val="22"/>
        </w:rPr>
        <w:t xml:space="preserve">Reflectors. </w:t>
      </w:r>
      <w:r>
        <w:rPr>
          <w:rFonts w:ascii="Times New Roman" w:hAnsi="Times New Roman"/>
          <w:b w:val="false"/>
          <w:i w:val="false"/>
          <w:color w:val="000000"/>
          <w:sz w:val="22"/>
        </w:rPr>
        <w:t>Reflectors shall be attached to all sides of the structure in such a manner to enable them to reflect light at all times from sunrise to sunset.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571—44.10</w:t>
      </w:r>
      <w:r>
        <w:rPr>
          <w:rFonts w:ascii="Times New Roman" w:hAnsi="Times New Roman"/>
          <w:b/>
          <w:i w:val="false"/>
          <w:color w:val="000000"/>
          <w:sz w:val="22"/>
        </w:rPr>
        <w:t xml:space="preserve">(462A) </w:t>
      </w:r>
      <w:r>
        <w:rPr>
          <w:rFonts w:ascii="Times New Roman" w:hAnsi="Times New Roman"/>
          <w:b/>
          <w:i w:val="false"/>
          <w:color w:val="000000"/>
          <w:sz w:val="22"/>
        </w:rPr>
        <w:t xml:space="preserve">Boating special events—registration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44.10(1)</w:t>
      </w:r>
      <w:r>
        <w:rPr>
          <w:rFonts w:ascii="Times New Roman" w:hAnsi="Times New Roman"/>
          <w:b w:val="false"/>
          <w:i w:val="false"/>
          <w:color w:val="000000"/>
          <w:sz w:val="22"/>
        </w:rPr>
        <w:t> </w:t>
      </w:r>
      <w:r>
        <w:rPr>
          <w:rFonts w:ascii="Times New Roman" w:hAnsi="Times New Roman"/>
          <w:b w:val="false"/>
          <w:i w:val="false"/>
          <w:color w:val="000000"/>
          <w:sz w:val="22"/>
        </w:rPr>
        <w:t xml:space="preserve">A vessel entered in a boating special event shall not be required to be registered pursuant to Iowa Code sections </w:t>
      </w:r>
      <w:hyperlink r:id="rId21">
        <w:r>
          <w:rPr>
            <w:rStyle w:val="Hyperlink"/>
            <w:rFonts w:ascii="Times New Roman" w:hAnsi="Times New Roman"/>
            <w:b w:val="false"/>
            <w:i w:val="false"/>
            <w:color w:val="000000"/>
            <w:sz w:val="22"/>
          </w:rPr>
          <w:t>462A.4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462A.5</w:t>
        </w:r>
      </w:hyperlink>
      <w:r>
        <w:rPr>
          <w:rFonts w:ascii="Times New Roman" w:hAnsi="Times New Roman"/>
          <w:b w:val="false"/>
          <w:i w:val="false"/>
          <w:color w:val="000000"/>
          <w:sz w:val="22"/>
        </w:rPr>
        <w:t xml:space="preserve"> but shall be labeled with an identifying number or letter that is at least four inches high and is in a color contrasting to the vessel. The identifying number or letter shall be located in a prominent spot on the exterior of the vessel, other than on the bow.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44.10(2)</w:t>
      </w:r>
      <w:r>
        <w:rPr>
          <w:rFonts w:ascii="Times New Roman" w:hAnsi="Times New Roman"/>
          <w:b w:val="false"/>
          <w:i w:val="false"/>
          <w:color w:val="000000"/>
          <w:sz w:val="22"/>
        </w:rPr>
        <w:t> </w:t>
      </w:r>
      <w:r>
        <w:rPr>
          <w:rFonts w:ascii="Times New Roman" w:hAnsi="Times New Roman"/>
          <w:b w:val="false"/>
          <w:i w:val="false"/>
          <w:color w:val="000000"/>
          <w:sz w:val="22"/>
        </w:rPr>
        <w:t>The sponsor of the boating special event shall maintain a list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persons participating in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and identifying number for each vessel in the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571—44.11</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or Missouri River. </w:t>
      </w:r>
      <w:r>
        <w:rPr>
          <w:rFonts w:ascii="Times New Roman" w:hAnsi="Times New Roman"/>
          <w:b w:val="false"/>
          <w:i w:val="false"/>
          <w:color w:val="000000"/>
          <w:sz w:val="22"/>
        </w:rPr>
        <w:t>Upon notification and proof that a United States Coast Guard (U.S.C.G.) permit has been secured, the department shall not require a special event application for fireworks displays or boating special events on the Mississippi River or the Missouri River. The regional U.S.C.G. office issuing permits for Mississippi River and Missouri River events is located in St. Louis, Missouri. This rule does not apply to fishing tournaments.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571—44.12</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Other requirements and permits. </w:t>
      </w:r>
      <w:r>
        <w:rPr>
          <w:rFonts w:ascii="Times New Roman" w:hAnsi="Times New Roman"/>
          <w:b w:val="false"/>
          <w:i w:val="false"/>
          <w:color w:val="000000"/>
          <w:sz w:val="22"/>
        </w:rPr>
        <w:t xml:space="preserve">The applicant for a permit is responsible for ensuring full compliance with the requirements of Iowa Code chapters </w:t>
      </w:r>
      <w:hyperlink r:id="rId23">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and any other Iowa Code chapters and rules promulgated under those chapters that may be applicable to special events. The applicant shall also acquire and comply with all applicable state and local permits issued by other state and local agencies necessary to hold the special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571—44.13</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Authority to cancel or stop a special event. </w:t>
      </w:r>
      <w:r>
        <w:rPr>
          <w:rFonts w:ascii="Times New Roman" w:hAnsi="Times New Roman"/>
          <w:b w:val="false"/>
          <w:i w:val="false"/>
          <w:color w:val="000000"/>
          <w:sz w:val="22"/>
        </w:rPr>
        <w:t>If a peace officer or any department employee determines that a permit is being violated or that safety concerns warrant canceling or stopping the special event, the peace officer or department employee has the authority to cancel or stop the special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571—44.14</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Nonexclusive use of area. </w:t>
      </w:r>
      <w:r>
        <w:rPr>
          <w:rFonts w:ascii="Times New Roman" w:hAnsi="Times New Roman"/>
          <w:b w:val="false"/>
          <w:i w:val="false"/>
          <w:color w:val="000000"/>
          <w:sz w:val="22"/>
        </w:rPr>
        <w:t>Issuance of a permit does not grant the applicant exclusive use of the public land, water, or ice that is the subject of the permit unless the permit explicitly provides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FIREWORKS DISPLAYS</w:t>
      </w:r>
    </w:p>
    <w:p>
      <w:pPr>
        <w:spacing w:before="0" w:after="0"/>
        <w:ind w:left="120"/>
        <w:jc w:val="both"/>
      </w:pPr>
      <w:r>
        <w:rPr>
          <w:rFonts w:ascii="Times New Roman" w:hAnsi="Times New Roman"/>
          <w:b/>
          <w:i w:val="false"/>
          <w:color w:val="000000"/>
          <w:sz w:val="22"/>
        </w:rPr>
        <w:t>571—44.15</w:t>
      </w:r>
      <w:r>
        <w:rPr>
          <w:rFonts w:ascii="Times New Roman" w:hAnsi="Times New Roman"/>
          <w:b/>
          <w:i w:val="false"/>
          <w:color w:val="000000"/>
          <w:sz w:val="22"/>
        </w:rPr>
        <w:t xml:space="preserve">(461A) </w:t>
      </w:r>
      <w:r>
        <w:rPr>
          <w:rFonts w:ascii="Times New Roman" w:hAnsi="Times New Roman"/>
          <w:b/>
          <w:i w:val="false"/>
          <w:color w:val="000000"/>
          <w:sz w:val="22"/>
        </w:rPr>
        <w:t xml:space="preserve">Entities eligible for permits. </w:t>
      </w:r>
      <w:r>
        <w:rPr>
          <w:rFonts w:ascii="Times New Roman" w:hAnsi="Times New Roman"/>
          <w:b w:val="false"/>
          <w:i w:val="false"/>
          <w:color w:val="000000"/>
          <w:sz w:val="22"/>
        </w:rPr>
        <w:t>Permits for fireworks displays shall be issued only to qualified entities, such as political subdivisions of the state of Iowa, and to community or civic organizations. Permits shall not be issued to individuals. Permits are not transferable to another entity and do not relieve the sponsoring entity from obtaining any other permits required by the state or its political subdivisions.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571—44.16</w:t>
      </w:r>
      <w:r>
        <w:rPr>
          <w:rFonts w:ascii="Times New Roman" w:hAnsi="Times New Roman"/>
          <w:b/>
          <w:i w:val="false"/>
          <w:color w:val="000000"/>
          <w:sz w:val="22"/>
        </w:rPr>
        <w:t xml:space="preserve">(461A) </w:t>
      </w:r>
      <w:r>
        <w:rPr>
          <w:rFonts w:ascii="Times New Roman" w:hAnsi="Times New Roman"/>
          <w:b/>
          <w:i w:val="false"/>
          <w:color w:val="000000"/>
          <w:sz w:val="22"/>
        </w:rPr>
        <w:t xml:space="preserve">Permit conditions. </w:t>
      </w:r>
      <w:r>
        <w:rPr>
          <w:rFonts w:ascii="Times New Roman" w:hAnsi="Times New Roman"/>
          <w:b w:val="false"/>
          <w:i w:val="false"/>
          <w:color w:val="000000"/>
          <w:sz w:val="22"/>
        </w:rPr>
        <w:t>The department may impose permit conditions not specifically required in these rules for any fireworks display special event as deemed necessary to protect the resource or ensure public safety. Conditions shall be included in the permit that the applicant or sponsoring organization receives if the event is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571—44.17</w:t>
      </w:r>
      <w:r>
        <w:rPr>
          <w:rFonts w:ascii="Times New Roman" w:hAnsi="Times New Roman"/>
          <w:b/>
          <w:i w:val="false"/>
          <w:color w:val="000000"/>
          <w:sz w:val="22"/>
        </w:rPr>
        <w:t xml:space="preserve">(461A)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The following procedures shall be used to apply for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44.17(1)</w:t>
      </w:r>
      <w:r>
        <w:rPr>
          <w:rFonts w:ascii="Times New Roman" w:hAnsi="Times New Roman"/>
          <w:b w:val="false"/>
          <w:i w:val="false"/>
          <w:color w:val="000000"/>
          <w:sz w:val="22"/>
        </w:rPr>
        <w:t> </w:t>
      </w:r>
      <w:r>
        <w:rPr>
          <w:rFonts w:ascii="Times New Roman" w:hAnsi="Times New Roman"/>
          <w:b w:val="false"/>
          <w:i w:val="false"/>
          <w:color w:val="000000"/>
          <w:sz w:val="22"/>
        </w:rPr>
        <w:t>Applications shall be made and submitted through the department’s centralized special events application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44.17(2)</w:t>
      </w:r>
      <w:r>
        <w:rPr>
          <w:rFonts w:ascii="Times New Roman" w:hAnsi="Times New Roman"/>
          <w:b w:val="false"/>
          <w:i w:val="false"/>
          <w:color w:val="000000"/>
          <w:sz w:val="22"/>
        </w:rPr>
        <w:t> </w:t>
      </w:r>
      <w:r>
        <w:rPr>
          <w:rFonts w:ascii="Times New Roman" w:hAnsi="Times New Roman"/>
          <w:b w:val="false"/>
          <w:i w:val="false"/>
          <w:color w:val="000000"/>
          <w:sz w:val="22"/>
        </w:rPr>
        <w:t>Applications—when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Events for current year. </w:t>
      </w:r>
      <w:r>
        <w:rPr>
          <w:rFonts w:ascii="Times New Roman" w:hAnsi="Times New Roman"/>
          <w:b w:val="false"/>
          <w:i w:val="false"/>
          <w:color w:val="000000"/>
          <w:sz w:val="22"/>
        </w:rPr>
        <w:t>Applications may be submitted anytime during the calendar year in which the fireworks display is to begin but no later than 30 days prior to the 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Events for the next year. </w:t>
      </w:r>
      <w:r>
        <w:rPr>
          <w:rFonts w:ascii="Times New Roman" w:hAnsi="Times New Roman"/>
          <w:b w:val="false"/>
          <w:i w:val="false"/>
          <w:color w:val="000000"/>
          <w:sz w:val="22"/>
        </w:rPr>
        <w:t>Applications for a fireworks display that will start in the next calendar year may be submitted beginning at 7 p.m. on September 1 of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44.17(3)</w:t>
      </w:r>
      <w:r>
        <w:rPr>
          <w:rFonts w:ascii="Times New Roman" w:hAnsi="Times New Roman"/>
          <w:b w:val="false"/>
          <w:i w:val="false"/>
          <w:color w:val="000000"/>
          <w:sz w:val="22"/>
        </w:rPr>
        <w:t> </w:t>
      </w:r>
      <w:r>
        <w:rPr>
          <w:rFonts w:ascii="Times New Roman" w:hAnsi="Times New Roman"/>
          <w:b w:val="false"/>
          <w:i w:val="false"/>
          <w:color w:val="000000"/>
          <w:sz w:val="22"/>
        </w:rPr>
        <w:t>The number of fireworks displays or other special events at any one public land, water or ice location during a given day may be restricted if deemed necessary to avoid congestion with the public or competing events and to protect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44.17(4)</w:t>
      </w:r>
      <w:r>
        <w:rPr>
          <w:rFonts w:ascii="Times New Roman" w:hAnsi="Times New Roman"/>
          <w:b w:val="false"/>
          <w:i w:val="false"/>
          <w:color w:val="000000"/>
          <w:sz w:val="22"/>
        </w:rPr>
        <w:t> </w:t>
      </w:r>
      <w:r>
        <w:rPr>
          <w:rFonts w:ascii="Times New Roman" w:hAnsi="Times New Roman"/>
          <w:b w:val="false"/>
          <w:i w:val="false"/>
          <w:color w:val="000000"/>
          <w:sz w:val="22"/>
        </w:rPr>
        <w:t>The applicant shall certify in the application that the fireworks display shall be conducted by a competent operator. The location of the display shall be determined by the department representative in charge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44.17(5)</w:t>
      </w:r>
      <w:r>
        <w:rPr>
          <w:rFonts w:ascii="Times New Roman" w:hAnsi="Times New Roman"/>
          <w:b w:val="false"/>
          <w:i w:val="false"/>
          <w:color w:val="000000"/>
          <w:sz w:val="22"/>
        </w:rPr>
        <w:t> </w:t>
      </w:r>
      <w:r>
        <w:rPr>
          <w:rFonts w:ascii="Times New Roman" w:hAnsi="Times New Roman"/>
          <w:b w:val="false"/>
          <w:i w:val="false"/>
          <w:color w:val="000000"/>
          <w:sz w:val="22"/>
        </w:rPr>
        <w:t>Submission of an application does not guarantee issuance of a permit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571—44.18</w:t>
      </w:r>
      <w:r>
        <w:rPr>
          <w:rFonts w:ascii="Times New Roman" w:hAnsi="Times New Roman"/>
          <w:b/>
          <w:i w:val="false"/>
          <w:color w:val="000000"/>
          <w:sz w:val="22"/>
        </w:rPr>
        <w:t xml:space="preserve">(461A) </w:t>
      </w:r>
      <w:r>
        <w:rPr>
          <w:rFonts w:ascii="Times New Roman" w:hAnsi="Times New Roman"/>
          <w:b/>
          <w:i w:val="false"/>
          <w:color w:val="000000"/>
          <w:sz w:val="22"/>
        </w:rPr>
        <w:t xml:space="preserve">Fireworks display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44.18(1)</w:t>
      </w:r>
      <w:r>
        <w:rPr>
          <w:rFonts w:ascii="Times New Roman" w:hAnsi="Times New Roman"/>
          <w:b w:val="false"/>
          <w:i w:val="false"/>
          <w:color w:val="000000"/>
          <w:sz w:val="22"/>
        </w:rPr>
        <w:t> </w:t>
      </w:r>
      <w:r>
        <w:rPr>
          <w:rFonts w:ascii="Times New Roman" w:hAnsi="Times New Roman"/>
          <w:b w:val="false"/>
          <w:i w:val="false"/>
          <w:color w:val="000000"/>
          <w:sz w:val="22"/>
        </w:rPr>
        <w:t>The sponsoring entity shall take adequate safety precautions to ensure that persons not actively involved in conducting the display remain a safe distance from the firing area and any areas containing set pieces.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44.18(2)</w:t>
      </w:r>
      <w:r>
        <w:rPr>
          <w:rFonts w:ascii="Times New Roman" w:hAnsi="Times New Roman"/>
          <w:b w:val="false"/>
          <w:i w:val="false"/>
          <w:color w:val="000000"/>
          <w:sz w:val="22"/>
        </w:rPr>
        <w:t> </w:t>
      </w:r>
      <w:r>
        <w:rPr>
          <w:rFonts w:ascii="Times New Roman" w:hAnsi="Times New Roman"/>
          <w:b w:val="false"/>
          <w:i w:val="false"/>
          <w:color w:val="000000"/>
          <w:sz w:val="22"/>
        </w:rPr>
        <w:t>The department representative in charge of the area in which the display is conducted or any state peace officer may halt any display when the character, location, weather, or firing of the display makes it hazardous to property or dangerous to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44.18(3)</w:t>
      </w:r>
      <w:r>
        <w:rPr>
          <w:rFonts w:ascii="Times New Roman" w:hAnsi="Times New Roman"/>
          <w:b w:val="false"/>
          <w:i w:val="false"/>
          <w:color w:val="000000"/>
          <w:sz w:val="22"/>
        </w:rPr>
        <w:t> </w:t>
      </w:r>
      <w:r>
        <w:rPr>
          <w:rFonts w:ascii="Times New Roman" w:hAnsi="Times New Roman"/>
          <w:b w:val="false"/>
          <w:i w:val="false"/>
          <w:color w:val="000000"/>
          <w:sz w:val="22"/>
        </w:rPr>
        <w:t>Any fireworks that remain unfired after the display is concluded shall be immediately disposed of by the operator or the sponsoring entity in a manner that is safe for the particular type of fireworks.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44.18(4)</w:t>
      </w:r>
      <w:r>
        <w:rPr>
          <w:rFonts w:ascii="Times New Roman" w:hAnsi="Times New Roman"/>
          <w:b w:val="false"/>
          <w:i w:val="false"/>
          <w:color w:val="000000"/>
          <w:sz w:val="22"/>
        </w:rPr>
        <w:t> </w:t>
      </w:r>
      <w:r>
        <w:rPr>
          <w:rFonts w:ascii="Times New Roman" w:hAnsi="Times New Roman"/>
          <w:b w:val="false"/>
          <w:i w:val="false"/>
          <w:color w:val="000000"/>
          <w:sz w:val="22"/>
        </w:rPr>
        <w:t>The sponsoring entity shall make arrangements for firefighting equipment and emergency medical services to be on the scene at all times during the firing of the display.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44.18(5)</w:t>
      </w:r>
      <w:r>
        <w:rPr>
          <w:rFonts w:ascii="Times New Roman" w:hAnsi="Times New Roman"/>
          <w:b w:val="false"/>
          <w:i w:val="false"/>
          <w:color w:val="000000"/>
          <w:sz w:val="22"/>
        </w:rPr>
        <w:t> </w:t>
      </w:r>
      <w:r>
        <w:rPr>
          <w:rFonts w:ascii="Times New Roman" w:hAnsi="Times New Roman"/>
          <w:b w:val="false"/>
          <w:i w:val="false"/>
          <w:color w:val="000000"/>
          <w:sz w:val="22"/>
        </w:rPr>
        <w:t>The sponsoring entity is totally responsible for cleanup of the fireworks display site at the conclusion of the display.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571—44.19</w:t>
      </w:r>
      <w:r>
        <w:rPr>
          <w:rFonts w:ascii="Times New Roman" w:hAnsi="Times New Roman"/>
          <w:b/>
          <w:i w:val="false"/>
          <w:color w:val="000000"/>
          <w:sz w:val="22"/>
        </w:rPr>
        <w:t xml:space="preserve">(461A) </w:t>
      </w:r>
      <w:r>
        <w:rPr>
          <w:rFonts w:ascii="Times New Roman" w:hAnsi="Times New Roman"/>
          <w:b/>
          <w:i w:val="false"/>
          <w:color w:val="000000"/>
          <w:sz w:val="22"/>
        </w:rPr>
        <w:t xml:space="preserve">Fees. </w:t>
      </w:r>
      <w:r>
        <w:rPr>
          <w:rFonts w:ascii="Times New Roman" w:hAnsi="Times New Roman"/>
          <w:b w:val="false"/>
          <w:i w:val="false"/>
          <w:color w:val="000000"/>
          <w:sz w:val="22"/>
        </w:rPr>
        <w:t>A nonrefundable administrative fee of $25 plus a processing fee shall be charged for each fireworks display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571—44.20</w:t>
      </w:r>
      <w:r>
        <w:rPr>
          <w:rFonts w:ascii="Times New Roman" w:hAnsi="Times New Roman"/>
          <w:b/>
          <w:i w:val="false"/>
          <w:color w:val="000000"/>
          <w:sz w:val="22"/>
        </w:rPr>
        <w:t xml:space="preserve">(461A) </w:t>
      </w:r>
      <w:r>
        <w:rPr>
          <w:rFonts w:ascii="Times New Roman" w:hAnsi="Times New Roman"/>
          <w:b/>
          <w:i w:val="false"/>
          <w:color w:val="000000"/>
          <w:sz w:val="22"/>
        </w:rPr>
        <w:t xml:space="preserve">Insurance. </w:t>
      </w:r>
      <w:r>
        <w:rPr>
          <w:rFonts w:ascii="Times New Roman" w:hAnsi="Times New Roman"/>
          <w:b w:val="false"/>
          <w:i w:val="false"/>
          <w:color w:val="000000"/>
          <w:sz w:val="22"/>
        </w:rPr>
        <w:t>The sponsoring entity for a fireworks display shall provide proof of liability insurance naming the applicant and the department as an additional insured in the sum of not less than $1 million. The department may, at its discretion, require a greater amount. Insurance information shall be available at the time the application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571—44.21</w:t>
      </w:r>
      <w:r>
        <w:rPr>
          <w:rFonts w:ascii="Times New Roman" w:hAnsi="Times New Roman"/>
          <w:b/>
          <w:i w:val="false"/>
          <w:color w:val="000000"/>
          <w:sz w:val="22"/>
        </w:rPr>
        <w:t xml:space="preserve">(461A) </w:t>
      </w:r>
      <w:r>
        <w:rPr>
          <w:rFonts w:ascii="Times New Roman" w:hAnsi="Times New Roman"/>
          <w:b/>
          <w:i w:val="false"/>
          <w:color w:val="000000"/>
          <w:sz w:val="22"/>
        </w:rPr>
        <w:t xml:space="preserve">Concessions. </w:t>
      </w:r>
      <w:r>
        <w:rPr>
          <w:rFonts w:ascii="Times New Roman" w:hAnsi="Times New Roman"/>
          <w:b w:val="false"/>
          <w:i w:val="false"/>
          <w:color w:val="000000"/>
          <w:sz w:val="22"/>
        </w:rPr>
        <w:t xml:space="preserve">If the state park or recreation area has a concessionaire on site, sales of food and other items during the display shall be governed pursuant to </w:t>
      </w:r>
      <w:hyperlink r:id="rId28">
        <w:r>
          <w:rPr>
            <w:rStyle w:val="Hyperlink"/>
            <w:rFonts w:ascii="Times New Roman" w:hAnsi="Times New Roman"/>
            <w:b w:val="false"/>
            <w:i w:val="false"/>
            <w:color w:val="000000"/>
            <w:sz w:val="22"/>
          </w:rPr>
          <w:t>571—subrule 14.5(3)</w:t>
        </w:r>
      </w:hyperlink>
      <w:r>
        <w:rPr>
          <w:rFonts w:ascii="Times New Roman" w:hAnsi="Times New Roman"/>
          <w:b w:val="false"/>
          <w:i w:val="false"/>
          <w:color w:val="000000"/>
          <w:sz w:val="22"/>
        </w:rPr>
        <w:t>. If a concessionaire chooses not to provide services during the event, the sponsoring entity may then bring in other concession operations as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321G.16</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321I.17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455A.14</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461A.3</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461A.42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461A.57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462A.16</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481A.22</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11/2/84, Notice 9/26/84—published 11/21/84, effective 1/1/85]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ARC 8815B</w:t>
      </w:r>
      <w:r>
        <w:rPr>
          <w:rFonts w:ascii="Times New Roman" w:hAnsi="Times New Roman"/>
          <w:b w:val="false"/>
          <w:i w:val="false"/>
          <w:color w:val="000000"/>
          <w:sz w:val="21"/>
        </w:rPr>
        <w:t xml:space="preserve"> (Notice ARC 8462B, IAB 1/13/10)</w:t>
      </w:r>
      <w:r>
        <w:rPr>
          <w:rFonts w:ascii="Times New Roman" w:hAnsi="Times New Roman"/>
          <w:b w:val="false"/>
          <w:i w:val="false"/>
          <w:color w:val="000000"/>
          <w:sz w:val="21"/>
        </w:rPr>
        <w:t>, IAB 6/2/10, effective 7/7/10]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6/30/10]</w:t>
      </w:r>
    </w:p>
    <w:p>
      <w:pPr>
        <w:spacing w:before="0" w:after="0"/>
        <w:ind w:left="120"/>
        <w:jc w:val="center"/>
      </w:pPr>
      <w:r>
        <w:rPr>
          <w:rFonts w:ascii="Times New Roman" w:hAnsi="Times New Roman"/>
          <w:b w:val="false"/>
          <w:i w:val="false"/>
          <w:color w:val="000000"/>
          <w:sz w:val="21"/>
        </w:rPr>
        <w:t>[Filed Emergency ARC 9114B, IAB 10/6/10, effective 9/10/10]</w:t>
      </w:r>
    </w:p>
    <w:p>
      <w:pPr>
        <w:spacing w:before="0" w:after="0"/>
        <w:ind w:left="120"/>
        <w:jc w:val="center"/>
      </w:pPr>
      <w:r>
        <w:rPr>
          <w:rFonts w:ascii="Times New Roman" w:hAnsi="Times New Roman"/>
          <w:b w:val="false"/>
          <w:i w:val="false"/>
          <w:color w:val="000000"/>
          <w:sz w:val="21"/>
        </w:rPr>
        <w:t>[Filed ARC 9539B</w:t>
      </w:r>
      <w:r>
        <w:rPr>
          <w:rFonts w:ascii="Times New Roman" w:hAnsi="Times New Roman"/>
          <w:b w:val="false"/>
          <w:i w:val="false"/>
          <w:color w:val="000000"/>
          <w:sz w:val="21"/>
        </w:rPr>
        <w:t xml:space="preserve"> (Notice ARC 9419B,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3443C</w:t>
      </w:r>
      <w:r>
        <w:rPr>
          <w:rFonts w:ascii="Times New Roman" w:hAnsi="Times New Roman"/>
          <w:b w:val="false"/>
          <w:i w:val="false"/>
          <w:color w:val="000000"/>
          <w:sz w:val="21"/>
        </w:rPr>
        <w:t xml:space="preserve"> (Notice ARC 3279C, IAB 8/30/17)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5054C</w:t>
      </w:r>
      <w:r>
        <w:rPr>
          <w:rFonts w:ascii="Times New Roman" w:hAnsi="Times New Roman"/>
          <w:b w:val="false"/>
          <w:i w:val="false"/>
          <w:color w:val="000000"/>
          <w:sz w:val="21"/>
        </w:rPr>
        <w:t xml:space="preserve"> (Notice ARC 4924C, IAB 2/12/20)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9220C</w:t>
      </w:r>
      <w:r>
        <w:rPr>
          <w:rFonts w:ascii="Times New Roman" w:hAnsi="Times New Roman"/>
          <w:b w:val="false"/>
          <w:i w:val="false"/>
          <w:color w:val="000000"/>
          <w:sz w:val="21"/>
        </w:rPr>
        <w:t xml:space="preserve"> (Notice ARC 8597C, IAB 1/8/25)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July 7, 2010, effective date of ARC 8815B delayed for 70 days by the Administrative Rules Review Committee at its meeting held June 8, 2010.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I.1.pdf" Type="http://schemas.openxmlformats.org/officeDocument/2006/relationships/hyperlink" Id="rId5"/>
    <Relationship TargetMode="External" Target="https://www.legis.iowa.gov/docs/ico/chapter/483A.39.pdf" Type="http://schemas.openxmlformats.org/officeDocument/2006/relationships/hyperlink" Id="rId6"/>
    <Relationship TargetMode="External" Target="https://www.legis.iowa.gov/docs/ico/chapter/481A.22.pdf" Type="http://schemas.openxmlformats.org/officeDocument/2006/relationships/hyperlink" Id="rId7"/>
    <Relationship TargetMode="External" Target="https://www.legis.iowa.gov/docs/ico/chapter/504.pdf" Type="http://schemas.openxmlformats.org/officeDocument/2006/relationships/hyperlink" Id="rId8"/>
    <Relationship TargetMode="External" Target="https://www.legis.iowa.gov/docs/ico/chapter/321I.1.pdf" Type="http://schemas.openxmlformats.org/officeDocument/2006/relationships/hyperlink" Id="rId9"/>
    <Relationship TargetMode="External" Target="https://www.legis.iowa.gov/docs/ico/chapter/321I.1.pdf" Type="http://schemas.openxmlformats.org/officeDocument/2006/relationships/hyperlink" Id="rId10"/>
    <Relationship TargetMode="External" Target="https://www.legis.iowa.gov/docs/ico/chapter/462A.2.pdf" Type="http://schemas.openxmlformats.org/officeDocument/2006/relationships/hyperlink" Id="rId11"/>
    <Relationship TargetMode="External" Target="https://www.legis.iowa.gov/docs/ico/chapter/462A.2.pdf" Type="http://schemas.openxmlformats.org/officeDocument/2006/relationships/hyperlink" Id="rId12"/>
    <Relationship TargetMode="External" Target="https://www.legis.iowa.gov/docs/ico/chapter/321G.1.pdf" Type="http://schemas.openxmlformats.org/officeDocument/2006/relationships/hyperlink" Id="rId13"/>
    <Relationship TargetMode="External" Target="https://www.legis.iowa.gov/docs/ico/chapter/462A.2.pdf" Type="http://schemas.openxmlformats.org/officeDocument/2006/relationships/hyperlink" Id="rId14"/>
    <Relationship TargetMode="External" Target="https://www.legis.iowa.gov/docs/iac/rule/571.14.5.pdf" Type="http://schemas.openxmlformats.org/officeDocument/2006/relationships/hyperlink" Id="rId15"/>
    <Relationship TargetMode="External" Target="https://www.legis.iowa.gov/docs/iac/rule/571.44.4.pdf" Type="http://schemas.openxmlformats.org/officeDocument/2006/relationships/hyperlink" Id="rId16"/>
    <Relationship TargetMode="External" Target="https://www.legis.iowa.gov/docs/iac/rule/571.44.4.pdf" Type="http://schemas.openxmlformats.org/officeDocument/2006/relationships/hyperlink" Id="rId17"/>
    <Relationship TargetMode="External" Target="https://www.legis.iowa.gov/docs/iac/rule/571.44.4.pdf" Type="http://schemas.openxmlformats.org/officeDocument/2006/relationships/hyperlink" Id="rId18"/>
    <Relationship TargetMode="External" Target="https://www.legis.iowa.gov/docs/ico/chapter/483A.39.pdf" Type="http://schemas.openxmlformats.org/officeDocument/2006/relationships/hyperlink" Id="rId19"/>
    <Relationship TargetMode="External" Target="https://www.legis.iowa.gov/docs/ico/chapter/481A.22.pdf" Type="http://schemas.openxmlformats.org/officeDocument/2006/relationships/hyperlink" Id="rId20"/>
    <Relationship TargetMode="External" Target="https://www.legis.iowa.gov/docs/ico/chapter/462A.4.pdf" Type="http://schemas.openxmlformats.org/officeDocument/2006/relationships/hyperlink" Id="rId21"/>
    <Relationship TargetMode="External" Target="https://www.legis.iowa.gov/docs/ico/chapter/462A.5.pdf" Type="http://schemas.openxmlformats.org/officeDocument/2006/relationships/hyperlink" Id="rId22"/>
    <Relationship TargetMode="External" Target="https://www.legis.iowa.gov/docs/ico/chapter/321G.pdf" Type="http://schemas.openxmlformats.org/officeDocument/2006/relationships/hyperlink" Id="rId23"/>
    <Relationship TargetMode="External" Target="https://www.legis.iowa.gov/docs/ico/chapter/321I.pdf" Type="http://schemas.openxmlformats.org/officeDocument/2006/relationships/hyperlink" Id="rId24"/>
    <Relationship TargetMode="External" Target="https://www.legis.iowa.gov/docs/ico/chapter/461A.pdf" Type="http://schemas.openxmlformats.org/officeDocument/2006/relationships/hyperlink" Id="rId25"/>
    <Relationship TargetMode="External" Target="https://www.legis.iowa.gov/docs/ico/chapter/462A.pdf" Type="http://schemas.openxmlformats.org/officeDocument/2006/relationships/hyperlink" Id="rId26"/>
    <Relationship TargetMode="External" Target="https://www.legis.iowa.gov/docs/ico/chapter/481A.pdf" Type="http://schemas.openxmlformats.org/officeDocument/2006/relationships/hyperlink" Id="rId27"/>
    <Relationship TargetMode="External" Target="https://www.legis.iowa.gov/docs/iac/rule/571.14.5.pdf" Type="http://schemas.openxmlformats.org/officeDocument/2006/relationships/hyperlink" Id="rId28"/>
    <Relationship TargetMode="External" Target="https://www.legis.iowa.gov/docs/ico/chapter/321G.16.pdf" Type="http://schemas.openxmlformats.org/officeDocument/2006/relationships/hyperlink" Id="rId29"/>
    <Relationship TargetMode="External" Target="https://www.legis.iowa.gov/docs/ico/chapter/321I.17.pdf" Type="http://schemas.openxmlformats.org/officeDocument/2006/relationships/hyperlink" Id="rId30"/>
    <Relationship TargetMode="External" Target="https://www.legis.iowa.gov/docs/ico/chapter/455A.14.pdf" Type="http://schemas.openxmlformats.org/officeDocument/2006/relationships/hyperlink" Id="rId31"/>
    <Relationship TargetMode="External" Target="https://www.legis.iowa.gov/docs/ico/chapter/461A.3.pdf" Type="http://schemas.openxmlformats.org/officeDocument/2006/relationships/hyperlink" Id="rId32"/>
    <Relationship TargetMode="External" Target="https://www.legis.iowa.gov/docs/ico/chapter/461A.4.pdf" Type="http://schemas.openxmlformats.org/officeDocument/2006/relationships/hyperlink" Id="rId33"/>
    <Relationship TargetMode="External" Target="https://www.legis.iowa.gov/docs/ico/chapter/461A.42.pdf" Type="http://schemas.openxmlformats.org/officeDocument/2006/relationships/hyperlink" Id="rId34"/>
    <Relationship TargetMode="External" Target="https://www.legis.iowa.gov/docs/ico/chapter/461A.57.pdf" Type="http://schemas.openxmlformats.org/officeDocument/2006/relationships/hyperlink" Id="rId35"/>
    <Relationship TargetMode="External" Target="https://www.legis.iowa.gov/docs/ico/chapter/462A.16.pdf" Type="http://schemas.openxmlformats.org/officeDocument/2006/relationships/hyperlink" Id="rId36"/>
    <Relationship TargetMode="External" Target="https://www.legis.iowa.gov/docs/ico/chapter/481A.22.pdf" Type="http://schemas.openxmlformats.org/officeDocument/2006/relationships/hyperlink" Id="rId37"/>
    <Relationship TargetMode="External" Target="https://www.legis.iowa.gov/docs/ico/chapter/481A.38.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