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FISH HABITAT PROMOTION FOR COUNTY CONSERVATION BOARDS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571—35.1</w:t>
      </w:r>
      <w:r>
        <w:rPr>
          <w:rFonts w:ascii="Times New Roman" w:hAnsi="Times New Roman"/>
          <w:b/>
          <w:i w:val="false"/>
          <w:color w:val="000000"/>
          <w:sz w:val="22"/>
        </w:rPr>
        <w:t xml:space="preserve">(483A) </w:t>
      </w:r>
      <w:r>
        <w:rPr>
          <w:rFonts w:ascii="Times New Roman" w:hAnsi="Times New Roman"/>
          <w:b/>
          <w:i w:val="false"/>
          <w:color w:val="000000"/>
          <w:sz w:val="22"/>
        </w:rPr>
        <w:t xml:space="preserve">Purpose and definitions. </w:t>
      </w:r>
      <w:r>
        <w:rPr>
          <w:rFonts w:ascii="Times New Roman" w:hAnsi="Times New Roman"/>
          <w:b w:val="false"/>
          <w:i w:val="false"/>
          <w:color w:val="000000"/>
          <w:sz w:val="22"/>
        </w:rPr>
        <w:t>The purpose of this chapter is to designate procedures for the allotment of fish habitat revenue to county conservation boards. These funds shall be used specifically to acquire from willing sellers whole or partial interest in land for use as or for protection of fish habitats and to develop and enhance fishable waters and habitat areas.</w:t>
      </w:r>
    </w:p>
    <w:p>
      <w:pPr>
        <w:spacing w:before="0" w:after="0"/>
        <w:ind w:left="120"/>
        <w:jc w:val="both"/>
      </w:pPr>
      <w:r>
        <w:rPr>
          <w:rFonts w:ascii="Times New Roman" w:hAnsi="Times New Roman"/>
          <w:b w:val="false"/>
          <w:i w:val="false"/>
          <w:color w:val="000000"/>
          <w:sz w:val="22"/>
        </w:rPr>
        <w:t>The following definitions apply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“County” </w:t>
      </w:r>
      <w:r>
        <w:rPr>
          <w:rFonts w:ascii="Times New Roman" w:hAnsi="Times New Roman"/>
          <w:b w:val="false"/>
          <w:i w:val="false"/>
          <w:color w:val="000000"/>
          <w:sz w:val="22"/>
        </w:rPr>
        <w:t>means a county conservation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“District” </w:t>
      </w:r>
      <w:r>
        <w:rPr>
          <w:rFonts w:ascii="Times New Roman" w:hAnsi="Times New Roman"/>
          <w:b w:val="false"/>
          <w:i w:val="false"/>
          <w:color w:val="000000"/>
          <w:sz w:val="22"/>
        </w:rPr>
        <w:t>means a county conservation district.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571—35.2</w:t>
      </w:r>
      <w:r>
        <w:rPr>
          <w:rFonts w:ascii="Times New Roman" w:hAnsi="Times New Roman"/>
          <w:b/>
          <w:i w:val="false"/>
          <w:color w:val="000000"/>
          <w:sz w:val="22"/>
        </w:rPr>
        <w:t xml:space="preserve">(483A) </w:t>
      </w:r>
      <w:r>
        <w:rPr>
          <w:rFonts w:ascii="Times New Roman" w:hAnsi="Times New Roman"/>
          <w:b/>
          <w:i w:val="false"/>
          <w:color w:val="000000"/>
          <w:sz w:val="22"/>
        </w:rPr>
        <w:t xml:space="preserve">Availability of funds. </w:t>
      </w:r>
      <w:r>
        <w:rPr>
          <w:rFonts w:ascii="Times New Roman" w:hAnsi="Times New Roman"/>
          <w:b w:val="false"/>
          <w:i w:val="false"/>
          <w:color w:val="000000"/>
          <w:sz w:val="22"/>
        </w:rPr>
        <w:t>Fish habitat funds are dependent on sales. Revenues received by the department determine the amount of moneys available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w:t>
      </w:r>
      <w:r>
        <w:rPr>
          <w:rFonts w:ascii="Times New Roman" w:hAnsi="Times New Roman"/>
          <w:b w:val="false"/>
          <w:i w:val="false"/>
          <w:color w:val="000000"/>
          <w:sz w:val="22"/>
        </w:rPr>
        <w:t> </w:t>
      </w:r>
      <w:r>
        <w:rPr>
          <w:rFonts w:ascii="Times New Roman" w:hAnsi="Times New Roman"/>
          <w:b w:val="false"/>
          <w:i/>
          <w:color w:val="000000"/>
          <w:sz w:val="22"/>
        </w:rPr>
        <w:t xml:space="preserve">Local share. </w:t>
      </w:r>
      <w:r>
        <w:rPr>
          <w:rFonts w:ascii="Times New Roman" w:hAnsi="Times New Roman"/>
          <w:b w:val="false"/>
          <w:i w:val="false"/>
          <w:color w:val="000000"/>
          <w:sz w:val="22"/>
        </w:rPr>
        <w:t>Funds available for county conservation boards shall be specified in the department’s budget in accordance with legislative appropriations. At least 50 percent of the fish habitat revenue will be apportioned to county conservation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w:t>
      </w:r>
      <w:r>
        <w:rPr>
          <w:rFonts w:ascii="Times New Roman" w:hAnsi="Times New Roman"/>
          <w:b w:val="false"/>
          <w:i w:val="false"/>
          <w:color w:val="000000"/>
          <w:sz w:val="22"/>
        </w:rPr>
        <w:t> </w:t>
      </w:r>
      <w:r>
        <w:rPr>
          <w:rFonts w:ascii="Times New Roman" w:hAnsi="Times New Roman"/>
          <w:b w:val="false"/>
          <w:i/>
          <w:color w:val="000000"/>
          <w:sz w:val="22"/>
        </w:rPr>
        <w:t xml:space="preserve">Distribution. </w:t>
      </w:r>
      <w:r>
        <w:rPr>
          <w:rFonts w:ascii="Times New Roman" w:hAnsi="Times New Roman"/>
          <w:b w:val="false"/>
          <w:i w:val="false"/>
          <w:color w:val="000000"/>
          <w:sz w:val="22"/>
        </w:rPr>
        <w:t>After deduction of 5 percent to be held for contingencies, the remaining local share will be available on an annual basis. The department shall divide fish habitat funds equally among the districts. The districts have two years to obligate fish habitat funds once the funds are made available. After two years, the department will apportion all unobligated funds equally among the districts.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571—35.3</w:t>
      </w:r>
      <w:r>
        <w:rPr>
          <w:rFonts w:ascii="Times New Roman" w:hAnsi="Times New Roman"/>
          <w:b/>
          <w:i w:val="false"/>
          <w:color w:val="000000"/>
          <w:sz w:val="22"/>
        </w:rPr>
        <w:t xml:space="preserve">(483A) </w:t>
      </w:r>
      <w:r>
        <w:rPr>
          <w:rFonts w:ascii="Times New Roman" w:hAnsi="Times New Roman"/>
          <w:b/>
          <w:i w:val="false"/>
          <w:color w:val="000000"/>
          <w:sz w:val="22"/>
        </w:rPr>
        <w:t xml:space="preserve">Program eligibility. </w:t>
      </w:r>
      <w:r>
        <w:rPr>
          <w:rFonts w:ascii="Times New Roman" w:hAnsi="Times New Roman"/>
          <w:b w:val="false"/>
          <w:i w:val="false"/>
          <w:color w:val="000000"/>
          <w:sz w:val="22"/>
        </w:rPr>
        <w:t>All counties are eligible to participate in this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571—35.4</w:t>
      </w:r>
      <w:r>
        <w:rPr>
          <w:rFonts w:ascii="Times New Roman" w:hAnsi="Times New Roman"/>
          <w:b/>
          <w:i w:val="false"/>
          <w:color w:val="000000"/>
          <w:sz w:val="22"/>
        </w:rPr>
        <w:t xml:space="preserve">(483A) </w:t>
      </w:r>
      <w:r>
        <w:rPr>
          <w:rFonts w:ascii="Times New Roman" w:hAnsi="Times New Roman"/>
          <w:b/>
          <w:i w:val="false"/>
          <w:color w:val="000000"/>
          <w:sz w:val="22"/>
        </w:rPr>
        <w:t xml:space="preserve">Eligibility for cost-sharing assistance. </w:t>
      </w:r>
      <w:r>
        <w:rPr>
          <w:rFonts w:ascii="Times New Roman" w:hAnsi="Times New Roman"/>
          <w:b w:val="false"/>
          <w:i w:val="false"/>
          <w:color w:val="000000"/>
          <w:sz w:val="22"/>
        </w:rPr>
        <w:t xml:space="preserve">A project is not eligible for cost sharing unless the commission specifically approves the project or the applicant has received a written waiver of retroactivity from the director prior to the project’s initiation. A project must allow for public fishing to be eligible for cost sharing; however, the review and selection committee as described in </w:t>
      </w:r>
      <w:hyperlink r:id="rId5">
        <w:r>
          <w:rPr>
            <w:rStyle w:val="Hyperlink"/>
            <w:rFonts w:ascii="Times New Roman" w:hAnsi="Times New Roman"/>
            <w:b w:val="false"/>
            <w:i w:val="false"/>
            <w:color w:val="000000"/>
            <w:sz w:val="22"/>
          </w:rPr>
          <w:t>subrule 35.6(1)</w:t>
        </w:r>
      </w:hyperlink>
      <w:r>
        <w:rPr>
          <w:rFonts w:ascii="Times New Roman" w:hAnsi="Times New Roman"/>
          <w:b w:val="false"/>
          <w:i w:val="false"/>
          <w:color w:val="000000"/>
          <w:sz w:val="22"/>
        </w:rPr>
        <w:t xml:space="preserve"> may recommend for commission approval projects with restrictions on boating.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color w:val="000000"/>
          <w:sz w:val="22"/>
        </w:rPr>
        <w:t xml:space="preserve">Acquisition projects. </w:t>
      </w:r>
      <w:r>
        <w:rPr>
          <w:rFonts w:ascii="Times New Roman" w:hAnsi="Times New Roman"/>
          <w:b w:val="false"/>
          <w:i w:val="false"/>
          <w:color w:val="000000"/>
          <w:sz w:val="22"/>
        </w:rPr>
        <w:t xml:space="preserve">A licensed appraiser shall appraise lands or rights thereto to be acquired, and the appraisal shall be approved by department staff. The appraisal requirement may be waived when the staff determines that it is impractical for a specific project. The cost share shall not be approved for more than 90 percent of the approved appraised value. Acquisition projects are eligible for cost share either by direct payment as described in subrule </w:t>
      </w:r>
      <w:hyperlink r:id="rId6">
        <w:r>
          <w:rPr>
            <w:rStyle w:val="Hyperlink"/>
            <w:rFonts w:ascii="Times New Roman" w:hAnsi="Times New Roman"/>
            <w:b w:val="false"/>
            <w:i w:val="false"/>
            <w:color w:val="000000"/>
            <w:sz w:val="22"/>
          </w:rPr>
          <w:t>35.11(6)</w:t>
        </w:r>
      </w:hyperlink>
      <w:r>
        <w:rPr>
          <w:rFonts w:ascii="Times New Roman" w:hAnsi="Times New Roman"/>
          <w:b w:val="false"/>
          <w:i w:val="false"/>
          <w:color w:val="000000"/>
          <w:sz w:val="22"/>
        </w:rPr>
        <w:t xml:space="preserve"> or by reimbursement to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color w:val="000000"/>
          <w:sz w:val="22"/>
        </w:rPr>
        <w:t xml:space="preserve">Eligible acquisition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Acquisition for pond and lake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Acquisition of fishable streams, ponds and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Acquisition for watershed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35.4(3)</w:t>
      </w:r>
      <w:r>
        <w:rPr>
          <w:rFonts w:ascii="Times New Roman" w:hAnsi="Times New Roman"/>
          <w:b w:val="false"/>
          <w:i w:val="false"/>
          <w:color w:val="000000"/>
          <w:sz w:val="22"/>
        </w:rPr>
        <w:t> </w:t>
      </w:r>
      <w:r>
        <w:rPr>
          <w:rFonts w:ascii="Times New Roman" w:hAnsi="Times New Roman"/>
          <w:b w:val="false"/>
          <w:i/>
          <w:color w:val="000000"/>
          <w:sz w:val="22"/>
        </w:rPr>
        <w:t xml:space="preserve">Development projects. </w:t>
      </w:r>
      <w:r>
        <w:rPr>
          <w:rFonts w:ascii="Times New Roman" w:hAnsi="Times New Roman"/>
          <w:b w:val="false"/>
          <w:i w:val="false"/>
          <w:color w:val="000000"/>
          <w:sz w:val="22"/>
        </w:rPr>
        <w:t>Eligible expenditures for development projects include, but are not limited to, preliminary expenses, contracts, the purchase of materials and supplies, rentals, and extra labor that is hired only for the specific project. The purchase of equipment is not an eligible expenditure. Donated labor, materials and equipment-use and use of a county’s own labor and equipment are not eligible for cost-share assistance. Development projects are limited to lands legally controlled by the county for the expected life of the project. Development projects are eligible only for reimbursement of reasonable costs actually incurred and paid by the county.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35.4(4)</w:t>
      </w:r>
      <w:r>
        <w:rPr>
          <w:rFonts w:ascii="Times New Roman" w:hAnsi="Times New Roman"/>
          <w:b w:val="false"/>
          <w:i w:val="false"/>
          <w:color w:val="000000"/>
          <w:sz w:val="22"/>
        </w:rPr>
        <w:t> </w:t>
      </w:r>
      <w:r>
        <w:rPr>
          <w:rFonts w:ascii="Times New Roman" w:hAnsi="Times New Roman"/>
          <w:b w:val="false"/>
          <w:i/>
          <w:color w:val="000000"/>
          <w:sz w:val="22"/>
        </w:rPr>
        <w:t xml:space="preserve">Enhancement projects. </w:t>
      </w:r>
      <w:r>
        <w:rPr>
          <w:rFonts w:ascii="Times New Roman" w:hAnsi="Times New Roman"/>
          <w:b w:val="false"/>
          <w:i w:val="false"/>
          <w:color w:val="000000"/>
          <w:sz w:val="22"/>
        </w:rPr>
        <w:t>For purposes of this rule, “enhancement” is considered to be synonymous with “development.” Eligible enhancement activities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Physical placement of fish habitats in ponds, lakes, pits and streams.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Armoring of pond, lake, pit and stream shores.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Construction of aeration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Dredging of ponds or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Construction of ponds and lakes.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Construction of sediment-retaining basins.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Repair of lake dam/outlets.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Manipulation of fish populations and aquatic vegetation.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Removal of dams.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Construction of fish ladders.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Construction of fish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Construction of rock-faced jetties.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35.4(5)</w:t>
      </w:r>
      <w:r>
        <w:rPr>
          <w:rFonts w:ascii="Times New Roman" w:hAnsi="Times New Roman"/>
          <w:b w:val="false"/>
          <w:i w:val="false"/>
          <w:color w:val="000000"/>
          <w:sz w:val="22"/>
        </w:rPr>
        <w:t> </w:t>
      </w:r>
      <w:r>
        <w:rPr>
          <w:rFonts w:ascii="Times New Roman" w:hAnsi="Times New Roman"/>
          <w:b w:val="false"/>
          <w:i/>
          <w:color w:val="000000"/>
          <w:sz w:val="22"/>
        </w:rPr>
        <w:t xml:space="preserve">Project income. </w:t>
      </w:r>
      <w:r>
        <w:rPr>
          <w:rFonts w:ascii="Times New Roman" w:hAnsi="Times New Roman"/>
          <w:b w:val="false"/>
          <w:i w:val="false"/>
          <w:color w:val="000000"/>
          <w:sz w:val="22"/>
        </w:rPr>
        <w:t xml:space="preserve">When, as a result of a purchase agreement or other title transfer action involving cost sharing with fish habitat funds, a county directly or indirectly receives financial income that would have been paid to the previous landowner, 90 percent of that income shall be transferred to the department unless the county has identified and committed to habitat development projects or additional acquisitions on the project site to be funded from the income received. The project review and selection committee shall recommend, and the director and commission shall approve, plans for the expenditure of income received pursuant to this subrule. In the absence of acceptable fish habitat development or acquisition plans, the county shall transfer to the department 90 percent of the income received as it is received. The department shall credit that income to the county’s apportionment of the fish habitat fund as described in subrule </w:t>
      </w:r>
      <w:hyperlink r:id="rId7">
        <w:r>
          <w:rPr>
            <w:rStyle w:val="Hyperlink"/>
            <w:rFonts w:ascii="Times New Roman" w:hAnsi="Times New Roman"/>
            <w:b w:val="false"/>
            <w:i w:val="false"/>
            <w:color w:val="000000"/>
            <w:sz w:val="22"/>
          </w:rPr>
          <w:t>35.2(1)</w:t>
        </w:r>
      </w:hyperlink>
      <w:r>
        <w:rPr>
          <w:rFonts w:ascii="Times New Roman" w:hAnsi="Times New Roman"/>
          <w:b w:val="false"/>
          <w:i w:val="false"/>
          <w:color w:val="000000"/>
          <w:sz w:val="22"/>
        </w:rPr>
        <w:t>. The schedule of those reimbursements from a county to the state shall be included in the project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571—35.5</w:t>
      </w:r>
      <w:r>
        <w:rPr>
          <w:rFonts w:ascii="Times New Roman" w:hAnsi="Times New Roman"/>
          <w:b/>
          <w:i w:val="false"/>
          <w:color w:val="000000"/>
          <w:sz w:val="22"/>
        </w:rPr>
        <w:t xml:space="preserve">(483A) </w:t>
      </w:r>
      <w:r>
        <w:rPr>
          <w:rFonts w:ascii="Times New Roman" w:hAnsi="Times New Roman"/>
          <w:b/>
          <w:i w:val="false"/>
          <w:color w:val="000000"/>
          <w:sz w:val="22"/>
        </w:rPr>
        <w:t xml:space="preserve">Application for assistance. </w:t>
      </w:r>
      <w:r>
        <w:rPr>
          <w:rFonts w:ascii="Times New Roman" w:hAnsi="Times New Roman"/>
          <w:b w:val="false"/>
          <w:i w:val="false"/>
          <w:color w:val="000000"/>
          <w:sz w:val="22"/>
        </w:rPr>
        <w:t>Applications must contain sufficient detail as to clearly describe the scope of the project and how the area will be managed.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35.5(1)</w:t>
      </w:r>
      <w:r>
        <w:rPr>
          <w:rFonts w:ascii="Times New Roman" w:hAnsi="Times New Roman"/>
          <w:b w:val="false"/>
          <w:i w:val="false"/>
          <w:color w:val="000000"/>
          <w:sz w:val="22"/>
        </w:rPr>
        <w:t> </w:t>
      </w:r>
      <w:r>
        <w:rPr>
          <w:rFonts w:ascii="Times New Roman" w:hAnsi="Times New Roman"/>
          <w:b w:val="false"/>
          <w:i/>
          <w:color w:val="000000"/>
          <w:sz w:val="22"/>
        </w:rPr>
        <w:t xml:space="preserve">Form. </w:t>
      </w:r>
      <w:r>
        <w:rPr>
          <w:rFonts w:ascii="Times New Roman" w:hAnsi="Times New Roman"/>
          <w:b w:val="false"/>
          <w:i w:val="false"/>
          <w:color w:val="000000"/>
          <w:sz w:val="22"/>
        </w:rPr>
        <w:t>Applications must be submitted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35.5(2)</w:t>
      </w:r>
      <w:r>
        <w:rPr>
          <w:rFonts w:ascii="Times New Roman" w:hAnsi="Times New Roman"/>
          <w:b w:val="false"/>
          <w:i w:val="false"/>
          <w:color w:val="000000"/>
          <w:sz w:val="22"/>
        </w:rPr>
        <w:t> </w:t>
      </w:r>
      <w:r>
        <w:rPr>
          <w:rFonts w:ascii="Times New Roman" w:hAnsi="Times New Roman"/>
          <w:b w:val="false"/>
          <w:i/>
          <w:color w:val="000000"/>
          <w:sz w:val="22"/>
        </w:rPr>
        <w:t xml:space="preserve">Time of submission. </w:t>
      </w:r>
      <w:r>
        <w:rPr>
          <w:rFonts w:ascii="Times New Roman" w:hAnsi="Times New Roman"/>
          <w:b w:val="false"/>
          <w:i w:val="false"/>
          <w:color w:val="000000"/>
          <w:sz w:val="22"/>
        </w:rPr>
        <w:t>Applications for funds will be reviewed and selected for funding at least once per year. The department will publish on its website the date and time for submitting a funding proposal, providing at least 90 days’ notice. Applications must be submitted to the department as described on the website. Upon timely notice to eligible recipients, additional selection periods may be scheduled if necessary to expedite the distribution of funds. In emergencies, a county may request a waiver so that an acquisition project may be approved for retroactive payments if funds are available and the project meets all other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35.5(3)</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Joint applications are permitted. One county shall serve as the primary applicant. A joint application shall clearly describe the respective share of project costs for each county named. Any cooperative agreement between the counties named shall be provided as a part of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35.5(4)</w:t>
      </w:r>
      <w:r>
        <w:rPr>
          <w:rFonts w:ascii="Times New Roman" w:hAnsi="Times New Roman"/>
          <w:b w:val="false"/>
          <w:i w:val="false"/>
          <w:color w:val="000000"/>
          <w:sz w:val="22"/>
        </w:rPr>
        <w:t> </w:t>
      </w:r>
      <w:r>
        <w:rPr>
          <w:rFonts w:ascii="Times New Roman" w:hAnsi="Times New Roman"/>
          <w:b w:val="false"/>
          <w:i/>
          <w:color w:val="000000"/>
          <w:sz w:val="22"/>
        </w:rPr>
        <w:t xml:space="preserve">County funding. </w:t>
      </w:r>
      <w:r>
        <w:rPr>
          <w:rFonts w:ascii="Times New Roman" w:hAnsi="Times New Roman"/>
          <w:b w:val="false"/>
          <w:i w:val="false"/>
          <w:color w:val="000000"/>
          <w:sz w:val="22"/>
        </w:rPr>
        <w:t>An applicant shall certify that it has committed its share of project costs and that these funds are available and shall state the means of providing for the county share. All necessary approvals for acquisition and financing shall be included with the application. All financial income received directly or indirectly that would have been paid to the previous landowner as a result of a purchase agreement or other title transfer action shall be completely documented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35.5(5)</w:t>
      </w:r>
      <w:r>
        <w:rPr>
          <w:rFonts w:ascii="Times New Roman" w:hAnsi="Times New Roman"/>
          <w:b w:val="false"/>
          <w:i w:val="false"/>
          <w:color w:val="000000"/>
          <w:sz w:val="22"/>
        </w:rPr>
        <w:t> </w:t>
      </w:r>
      <w:r>
        <w:rPr>
          <w:rFonts w:ascii="Times New Roman" w:hAnsi="Times New Roman"/>
          <w:b w:val="false"/>
          <w:i/>
          <w:color w:val="000000"/>
          <w:sz w:val="22"/>
        </w:rPr>
        <w:t xml:space="preserve">Multiple development projects. </w:t>
      </w:r>
      <w:r>
        <w:rPr>
          <w:rFonts w:ascii="Times New Roman" w:hAnsi="Times New Roman"/>
          <w:b w:val="false"/>
          <w:i w:val="false"/>
          <w:color w:val="000000"/>
          <w:sz w:val="22"/>
        </w:rPr>
        <w:t>An application for development project assistance may include development on more than one area if the development is of a like nature.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571—35.6</w:t>
      </w:r>
      <w:r>
        <w:rPr>
          <w:rFonts w:ascii="Times New Roman" w:hAnsi="Times New Roman"/>
          <w:b/>
          <w:i w:val="false"/>
          <w:color w:val="000000"/>
          <w:sz w:val="22"/>
        </w:rPr>
        <w:t xml:space="preserve">(483A) </w:t>
      </w:r>
      <w:r>
        <w:rPr>
          <w:rFonts w:ascii="Times New Roman" w:hAnsi="Times New Roman"/>
          <w:b/>
          <w:i w:val="false"/>
          <w:color w:val="000000"/>
          <w:sz w:val="22"/>
        </w:rPr>
        <w:t xml:space="preserve">Project review and selection.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35.6(1)</w:t>
      </w:r>
      <w:r>
        <w:rPr>
          <w:rFonts w:ascii="Times New Roman" w:hAnsi="Times New Roman"/>
          <w:b w:val="false"/>
          <w:i w:val="false"/>
          <w:color w:val="000000"/>
          <w:sz w:val="22"/>
        </w:rPr>
        <w:t> </w:t>
      </w:r>
      <w:r>
        <w:rPr>
          <w:rFonts w:ascii="Times New Roman" w:hAnsi="Times New Roman"/>
          <w:b w:val="false"/>
          <w:i/>
          <w:color w:val="000000"/>
          <w:sz w:val="22"/>
        </w:rPr>
        <w:t xml:space="preserve">Review and selection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district shall have a review and selection committee, hereinafter referred to as the committee. Each committee shall be composed of at least five county directors or their designees, with at least two designated alternates. Each district’s committee shall determine which grant applications and amendment requests are selected for funding. For advisory purposes only, a department biologist or designee shall be present during review and selection of grant applications and amendment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Conflict of interest. An individual who is a member, volunteer, or employee of an entity that has submitted a project cannot serve on the scoring committee during that award cycle. Instead, one of the alternates shall review and score in the individual’s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35.6(2)</w:t>
      </w:r>
      <w:r>
        <w:rPr>
          <w:rFonts w:ascii="Times New Roman" w:hAnsi="Times New Roman"/>
          <w:b w:val="false"/>
          <w:i w:val="false"/>
          <w:color w:val="000000"/>
          <w:sz w:val="22"/>
        </w:rPr>
        <w:t> </w:t>
      </w:r>
      <w:r>
        <w:rPr>
          <w:rFonts w:ascii="Times New Roman" w:hAnsi="Times New Roman"/>
          <w:b w:val="false"/>
          <w:i/>
          <w:color w:val="000000"/>
          <w:sz w:val="22"/>
        </w:rPr>
        <w:t xml:space="preserve">Consideration withheld. </w:t>
      </w:r>
      <w:r>
        <w:rPr>
          <w:rFonts w:ascii="Times New Roman" w:hAnsi="Times New Roman"/>
          <w:b w:val="false"/>
          <w:i w:val="false"/>
          <w:color w:val="000000"/>
          <w:sz w:val="22"/>
        </w:rPr>
        <w:t>The committee shall not consider any application that on the date of the selection session is incomplete or for which additional pertinent information has been requested but not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35.6(3)</w:t>
      </w:r>
      <w:r>
        <w:rPr>
          <w:rFonts w:ascii="Times New Roman" w:hAnsi="Times New Roman"/>
          <w:b w:val="false"/>
          <w:i w:val="false"/>
          <w:color w:val="000000"/>
          <w:sz w:val="22"/>
        </w:rPr>
        <w:t> </w:t>
      </w:r>
      <w:r>
        <w:rPr>
          <w:rFonts w:ascii="Times New Roman" w:hAnsi="Times New Roman"/>
          <w:b w:val="false"/>
          <w:i/>
          <w:color w:val="000000"/>
          <w:sz w:val="22"/>
        </w:rPr>
        <w:t xml:space="preserve">Application rating system. </w:t>
      </w:r>
      <w:r>
        <w:rPr>
          <w:rFonts w:ascii="Times New Roman" w:hAnsi="Times New Roman"/>
          <w:b w:val="false"/>
          <w:i w:val="false"/>
          <w:color w:val="000000"/>
          <w:sz w:val="22"/>
        </w:rPr>
        <w:t>The committee shall apply a rating system to each grant application considered for fund assistance. The department shall develop the rating system. The rating system shall be used to rate each application, and those applications receiving the highest ratings shall be selected for fund assistance to the extent of the allotment for each annual period. If the amount of grant moneys available exceeds that requested, applications will be reviewed only to determine eligibility.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571—35.7</w:t>
      </w:r>
      <w:r>
        <w:rPr>
          <w:rFonts w:ascii="Times New Roman" w:hAnsi="Times New Roman"/>
          <w:b/>
          <w:i w:val="false"/>
          <w:color w:val="000000"/>
          <w:sz w:val="22"/>
        </w:rPr>
        <w:t xml:space="preserve">(483A) </w:t>
      </w:r>
      <w:r>
        <w:rPr>
          <w:rFonts w:ascii="Times New Roman" w:hAnsi="Times New Roman"/>
          <w:b/>
          <w:i w:val="false"/>
          <w:color w:val="000000"/>
          <w:sz w:val="22"/>
        </w:rPr>
        <w:t xml:space="preserve">Commission review. </w:t>
      </w:r>
      <w:r>
        <w:rPr>
          <w:rFonts w:ascii="Times New Roman" w:hAnsi="Times New Roman"/>
          <w:b w:val="false"/>
          <w:i w:val="false"/>
          <w:color w:val="000000"/>
          <w:sz w:val="22"/>
        </w:rPr>
        <w:t>The director shall present the committees’ recommendations to the commission at its next meeting following the rating of projects for funding. The commission may approve or disapprove funding for any project on the list.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571—35.8</w:t>
      </w:r>
      <w:r>
        <w:rPr>
          <w:rFonts w:ascii="Times New Roman" w:hAnsi="Times New Roman"/>
          <w:b/>
          <w:i w:val="false"/>
          <w:color w:val="000000"/>
          <w:sz w:val="22"/>
        </w:rPr>
        <w:t xml:space="preserve">(483A) </w:t>
      </w:r>
      <w:r>
        <w:rPr>
          <w:rFonts w:ascii="Times New Roman" w:hAnsi="Times New Roman"/>
          <w:b/>
          <w:i w:val="false"/>
          <w:color w:val="000000"/>
          <w:sz w:val="22"/>
        </w:rPr>
        <w:t xml:space="preserve">Grant amendments. </w:t>
      </w:r>
      <w:r>
        <w:rPr>
          <w:rFonts w:ascii="Times New Roman" w:hAnsi="Times New Roman"/>
          <w:b w:val="false"/>
          <w:i w:val="false"/>
          <w:color w:val="000000"/>
          <w:sz w:val="22"/>
        </w:rPr>
        <w:t>If funds are available, projects for which grants have been approved may be amended to increase or decrease project scope or to increase or decrease project costs and fund assistance. The director shall approve project changes prior to their inception. Amendments to increase project costs and fund assistance due to cost overruns shall not be approved if funds have already been committed or the work has already been performed.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571—35.9</w:t>
      </w:r>
      <w:r>
        <w:rPr>
          <w:rFonts w:ascii="Times New Roman" w:hAnsi="Times New Roman"/>
          <w:b/>
          <w:i w:val="false"/>
          <w:color w:val="000000"/>
          <w:sz w:val="22"/>
        </w:rPr>
        <w:t xml:space="preserve">(483A) </w:t>
      </w:r>
      <w:r>
        <w:rPr>
          <w:rFonts w:ascii="Times New Roman" w:hAnsi="Times New Roman"/>
          <w:b/>
          <w:i w:val="false"/>
          <w:color w:val="000000"/>
          <w:sz w:val="22"/>
        </w:rPr>
        <w:t xml:space="preserve">Timely commencement of projects. </w:t>
      </w:r>
      <w:r>
        <w:rPr>
          <w:rFonts w:ascii="Times New Roman" w:hAnsi="Times New Roman"/>
          <w:b w:val="false"/>
          <w:i w:val="false"/>
          <w:color w:val="000000"/>
          <w:sz w:val="22"/>
        </w:rPr>
        <w:t>Grant recipients are expected to carry out their projects in an expeditious manner. A project for which a grant is approved shall be commenced within six months of the date upon which the grantee is notified that the project is approved, or at another date agreed upon by both parties. Failure to do so may be cause for termination of the project and cancellation of the grant by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571—35.10</w:t>
      </w:r>
      <w:r>
        <w:rPr>
          <w:rFonts w:ascii="Times New Roman" w:hAnsi="Times New Roman"/>
          <w:b/>
          <w:i w:val="false"/>
          <w:color w:val="000000"/>
          <w:sz w:val="22"/>
        </w:rPr>
        <w:t xml:space="preserve">(483A) </w:t>
      </w:r>
      <w:r>
        <w:rPr>
          <w:rFonts w:ascii="Times New Roman" w:hAnsi="Times New Roman"/>
          <w:b/>
          <w:i w:val="false"/>
          <w:color w:val="000000"/>
          <w:sz w:val="22"/>
        </w:rPr>
        <w:t xml:space="preserve">Project period. </w:t>
      </w:r>
      <w:r>
        <w:rPr>
          <w:rFonts w:ascii="Times New Roman" w:hAnsi="Times New Roman"/>
          <w:b w:val="false"/>
          <w:i w:val="false"/>
          <w:color w:val="000000"/>
          <w:sz w:val="22"/>
        </w:rPr>
        <w:t>A project period that is commensurate with the work to be accomplished shall be assigned to each project. Extensions may be granted only in case of extenuating circumstances.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571—35.11</w:t>
      </w:r>
      <w:r>
        <w:rPr>
          <w:rFonts w:ascii="Times New Roman" w:hAnsi="Times New Roman"/>
          <w:b/>
          <w:i w:val="false"/>
          <w:color w:val="000000"/>
          <w:sz w:val="22"/>
        </w:rPr>
        <w:t xml:space="preserve">(483A) </w:t>
      </w:r>
      <w:r>
        <w:rPr>
          <w:rFonts w:ascii="Times New Roman" w:hAnsi="Times New Roman"/>
          <w:b/>
          <w:i w:val="false"/>
          <w:color w:val="000000"/>
          <w:sz w:val="22"/>
        </w:rPr>
        <w:t xml:space="preserve">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35.11(1)</w:t>
      </w:r>
      <w:r>
        <w:rPr>
          <w:rFonts w:ascii="Times New Roman" w:hAnsi="Times New Roman"/>
          <w:b w:val="false"/>
          <w:i w:val="false"/>
          <w:color w:val="000000"/>
          <w:sz w:val="22"/>
        </w:rPr>
        <w:t> </w:t>
      </w:r>
      <w:r>
        <w:rPr>
          <w:rFonts w:ascii="Times New Roman" w:hAnsi="Times New Roman"/>
          <w:b w:val="false"/>
          <w:i/>
          <w:color w:val="000000"/>
          <w:sz w:val="22"/>
        </w:rPr>
        <w:t xml:space="preserve">Grant amount. </w:t>
      </w:r>
      <w:r>
        <w:rPr>
          <w:rFonts w:ascii="Times New Roman" w:hAnsi="Times New Roman"/>
          <w:b w:val="false"/>
          <w:i w:val="false"/>
          <w:color w:val="000000"/>
          <w:sz w:val="22"/>
        </w:rPr>
        <w:t>Grant recipients will be paid 90 percent of all eligible costs incurred on a project up to the amount of the grant unless otherwise specified in the project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35.11(2)</w:t>
      </w:r>
      <w:r>
        <w:rPr>
          <w:rFonts w:ascii="Times New Roman" w:hAnsi="Times New Roman"/>
          <w:b w:val="false"/>
          <w:i w:val="false"/>
          <w:color w:val="000000"/>
          <w:sz w:val="22"/>
        </w:rPr>
        <w:t> </w:t>
      </w:r>
      <w:r>
        <w:rPr>
          <w:rFonts w:ascii="Times New Roman" w:hAnsi="Times New Roman"/>
          <w:b w:val="false"/>
          <w:i/>
          <w:color w:val="000000"/>
          <w:sz w:val="22"/>
        </w:rPr>
        <w:t xml:space="preserve">Project billings. </w:t>
      </w:r>
      <w:r>
        <w:rPr>
          <w:rFonts w:ascii="Times New Roman" w:hAnsi="Times New Roman"/>
          <w:b w:val="false"/>
          <w:i w:val="false"/>
          <w:color w:val="000000"/>
          <w:sz w:val="22"/>
        </w:rPr>
        <w:t>Grant recipients shall submit billings for reimbursement or cost sharing 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35.11(3)</w:t>
      </w:r>
      <w:r>
        <w:rPr>
          <w:rFonts w:ascii="Times New Roman" w:hAnsi="Times New Roman"/>
          <w:b w:val="false"/>
          <w:i w:val="false"/>
          <w:color w:val="000000"/>
          <w:sz w:val="22"/>
        </w:rPr>
        <w:t> </w:t>
      </w:r>
      <w:r>
        <w:rPr>
          <w:rFonts w:ascii="Times New Roman" w:hAnsi="Times New Roman"/>
          <w:b w:val="false"/>
          <w:i/>
          <w:color w:val="000000"/>
          <w:sz w:val="22"/>
        </w:rPr>
        <w:t xml:space="preserve">Project billing frequency. </w:t>
      </w:r>
      <w:r>
        <w:rPr>
          <w:rFonts w:ascii="Times New Roman" w:hAnsi="Times New Roman"/>
          <w:b w:val="false"/>
          <w:i w:val="false"/>
          <w:color w:val="000000"/>
          <w:sz w:val="22"/>
        </w:rPr>
        <w:t>Project billings shall be submitted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 to $10,000 total project cost—one billing.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Over $10,000 total project cost—no more than two billings.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35.11(4)</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Grant recipients shall provide documentation to substantiate all costs incurred on a project as may be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35.11(5)</w:t>
      </w:r>
      <w:r>
        <w:rPr>
          <w:rFonts w:ascii="Times New Roman" w:hAnsi="Times New Roman"/>
          <w:b w:val="false"/>
          <w:i w:val="false"/>
          <w:color w:val="000000"/>
          <w:sz w:val="22"/>
        </w:rPr>
        <w:t> </w:t>
      </w:r>
      <w:r>
        <w:rPr>
          <w:rFonts w:ascii="Times New Roman" w:hAnsi="Times New Roman"/>
          <w:b w:val="false"/>
          <w:i/>
          <w:color w:val="000000"/>
          <w:sz w:val="22"/>
        </w:rPr>
        <w:t xml:space="preserve">Development projects. </w:t>
      </w:r>
      <w:r>
        <w:rPr>
          <w:rFonts w:ascii="Times New Roman" w:hAnsi="Times New Roman"/>
          <w:b w:val="false"/>
          <w:i w:val="false"/>
          <w:color w:val="000000"/>
          <w:sz w:val="22"/>
        </w:rPr>
        <w:t>Eighty percent of the approved local share may be paid to the county when requested, but not earlier than start-up of the project. The department, pending successful completion and final inspection of the project, shall withhold 20 percent of the local share until any irregularities discovered as a result of a final site inspection have been resolved.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35.11(6)</w:t>
      </w:r>
      <w:r>
        <w:rPr>
          <w:rFonts w:ascii="Times New Roman" w:hAnsi="Times New Roman"/>
          <w:b w:val="false"/>
          <w:i w:val="false"/>
          <w:color w:val="000000"/>
          <w:sz w:val="22"/>
        </w:rPr>
        <w:t> </w:t>
      </w:r>
      <w:r>
        <w:rPr>
          <w:rFonts w:ascii="Times New Roman" w:hAnsi="Times New Roman"/>
          <w:b w:val="false"/>
          <w:i/>
          <w:color w:val="000000"/>
          <w:sz w:val="22"/>
        </w:rPr>
        <w:t xml:space="preserve">Acquisition projects. </w:t>
      </w:r>
      <w:r>
        <w:rPr>
          <w:rFonts w:ascii="Times New Roman" w:hAnsi="Times New Roman"/>
          <w:b w:val="false"/>
          <w:i w:val="false"/>
          <w:color w:val="000000"/>
          <w:sz w:val="22"/>
        </w:rPr>
        <w:t>The department may make payment directly to a property seller pursuant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county requests direct payment in the project application and shows good cause for such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seller provides to the county a marketable fee simple title, free and clear of all liens and encumbrances or material objections at the time of payment;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Sufficient program funds are available at the time of transfer.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571—35.12</w:t>
      </w:r>
      <w:r>
        <w:rPr>
          <w:rFonts w:ascii="Times New Roman" w:hAnsi="Times New Roman"/>
          <w:b/>
          <w:i w:val="false"/>
          <w:color w:val="000000"/>
          <w:sz w:val="22"/>
        </w:rPr>
        <w:t xml:space="preserve">(483A) </w:t>
      </w:r>
      <w:r>
        <w:rPr>
          <w:rFonts w:ascii="Times New Roman" w:hAnsi="Times New Roman"/>
          <w:b/>
          <w:i w:val="false"/>
          <w:color w:val="000000"/>
          <w:sz w:val="22"/>
        </w:rPr>
        <w:t xml:space="preserve">Recordkeeping and retention. </w:t>
      </w:r>
      <w:r>
        <w:rPr>
          <w:rFonts w:ascii="Times New Roman" w:hAnsi="Times New Roman"/>
          <w:b w:val="false"/>
          <w:i w:val="false"/>
          <w:color w:val="000000"/>
          <w:sz w:val="22"/>
        </w:rPr>
        <w:t>A grant recipient shall keep adequate records relating to its administration of a project, particularly relating to all incurred costs and direct or indirect income that normally would have been paid to the previous landowner as a result of a purchase agreement or other title transfer action. A copy of the county’s audits showing such income and disbursements for the grant period shall be submitted to the department’s budget and grant bureau. These records shall be available for audit by appropriate personnel of the department and the state auditor’s office. All records shall be retained in accordance with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571—35.13</w:t>
      </w:r>
      <w:r>
        <w:rPr>
          <w:rFonts w:ascii="Times New Roman" w:hAnsi="Times New Roman"/>
          <w:b/>
          <w:i w:val="false"/>
          <w:color w:val="000000"/>
          <w:sz w:val="22"/>
        </w:rPr>
        <w:t xml:space="preserve">(483A) </w:t>
      </w:r>
      <w:r>
        <w:rPr>
          <w:rFonts w:ascii="Times New Roman" w:hAnsi="Times New Roman"/>
          <w:b/>
          <w:i w:val="false"/>
          <w:color w:val="000000"/>
          <w:sz w:val="22"/>
        </w:rPr>
        <w:t xml:space="preserve">Penalties. </w:t>
      </w:r>
      <w:r>
        <w:rPr>
          <w:rFonts w:ascii="Times New Roman" w:hAnsi="Times New Roman"/>
          <w:b w:val="false"/>
          <w:i w:val="false"/>
          <w:color w:val="000000"/>
          <w:sz w:val="22"/>
        </w:rPr>
        <w:t>Whenever any real or personal property acquired or developed with fish habitat fund assistance passes from the control of the grantee or is used for other purposes that conflict with the project purpose, it shall be considered an unlawful use of the funds. The department shall notify the county of any such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35.13(1)</w:t>
      </w:r>
      <w:r>
        <w:rPr>
          <w:rFonts w:ascii="Times New Roman" w:hAnsi="Times New Roman"/>
          <w:b w:val="false"/>
          <w:i w:val="false"/>
          <w:color w:val="000000"/>
          <w:sz w:val="22"/>
        </w:rPr>
        <w:t> </w:t>
      </w:r>
      <w:r>
        <w:rPr>
          <w:rFonts w:ascii="Times New Roman" w:hAnsi="Times New Roman"/>
          <w:b w:val="false"/>
          <w:i/>
          <w:color w:val="000000"/>
          <w:sz w:val="22"/>
        </w:rPr>
        <w:t xml:space="preserve">Remedy. </w:t>
      </w:r>
      <w:r>
        <w:rPr>
          <w:rFonts w:ascii="Times New Roman" w:hAnsi="Times New Roman"/>
          <w:b w:val="false"/>
          <w:i w:val="false"/>
          <w:color w:val="000000"/>
          <w:sz w:val="22"/>
        </w:rPr>
        <w:t>Funds thus used unlawfully shall be returned to the department for inclusion in the fish habitat fund, or local, non-cost-shared funds shall be used to acquire a replacement property of equal value at current market prices and with commensurate benefits to fish. The replacement property must be approved by the commission. The county shall have a period of two years after notification by the department in which to correct the unlawful use of funds. The remedies provided by this subrule are in addition to others provided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35.13(2)</w:t>
      </w:r>
      <w:r>
        <w:rPr>
          <w:rFonts w:ascii="Times New Roman" w:hAnsi="Times New Roman"/>
          <w:b w:val="false"/>
          <w:i w:val="false"/>
          <w:color w:val="000000"/>
          <w:sz w:val="22"/>
        </w:rPr>
        <w:t> </w:t>
      </w:r>
      <w:r>
        <w:rPr>
          <w:rFonts w:ascii="Times New Roman" w:hAnsi="Times New Roman"/>
          <w:b w:val="false"/>
          <w:i/>
          <w:color w:val="000000"/>
          <w:sz w:val="22"/>
        </w:rPr>
        <w:t xml:space="preserve">Land disposal. </w:t>
      </w:r>
      <w:r>
        <w:rPr>
          <w:rFonts w:ascii="Times New Roman" w:hAnsi="Times New Roman"/>
          <w:b w:val="false"/>
          <w:i w:val="false"/>
          <w:color w:val="000000"/>
          <w:sz w:val="22"/>
        </w:rPr>
        <w:t>Whenever it has been determined and agreed upon by the grantee and the commission that land acquired or developed with fish habitat fund assistance is no longer of value for the project purpose or that the county has other good cause, the commission may authorize that the land be disposed of and the proceeds thereof used to acquire or develop an area of equal value or that 90 percent of the proceeds be returned to the state for inclusion in the fish habitat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35.13(3)</w:t>
      </w:r>
      <w:r>
        <w:rPr>
          <w:rFonts w:ascii="Times New Roman" w:hAnsi="Times New Roman"/>
          <w:b w:val="false"/>
          <w:i w:val="false"/>
          <w:color w:val="000000"/>
          <w:sz w:val="22"/>
        </w:rPr>
        <w:t> </w:t>
      </w:r>
      <w:r>
        <w:rPr>
          <w:rFonts w:ascii="Times New Roman" w:hAnsi="Times New Roman"/>
          <w:b w:val="false"/>
          <w:i/>
          <w:color w:val="000000"/>
          <w:sz w:val="22"/>
        </w:rPr>
        <w:t xml:space="preserve">Ineligibility. </w:t>
      </w:r>
      <w:r>
        <w:rPr>
          <w:rFonts w:ascii="Times New Roman" w:hAnsi="Times New Roman"/>
          <w:b w:val="false"/>
          <w:i w:val="false"/>
          <w:color w:val="000000"/>
          <w:sz w:val="22"/>
        </w:rPr>
        <w:t>If the department determines that a county has unlawfully used fish habitat funds, the county shall be ineligible for further assistance until the matter has been resolved to the satisfaction of the commission.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7912C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483A.3A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6/18/02, Notice 4/3/02—published 7/10/02, effective 8/14/02]</w:t>
      </w:r>
    </w:p>
    <w:p>
      <w:pPr>
        <w:spacing w:before="0" w:after="0"/>
        <w:ind w:left="120"/>
        <w:jc w:val="center"/>
      </w:pPr>
      <w:r>
        <w:rPr>
          <w:rFonts w:ascii="Times New Roman" w:hAnsi="Times New Roman"/>
          <w:b w:val="false"/>
          <w:i w:val="false"/>
          <w:color w:val="000000"/>
          <w:sz w:val="21"/>
        </w:rPr>
        <w:t>[Filed ARC 6789C</w:t>
      </w:r>
      <w:r>
        <w:rPr>
          <w:rFonts w:ascii="Times New Roman" w:hAnsi="Times New Roman"/>
          <w:b w:val="false"/>
          <w:i w:val="false"/>
          <w:color w:val="000000"/>
          <w:sz w:val="21"/>
        </w:rPr>
        <w:t xml:space="preserve"> (Notice ARC 6630C, IAB 11/2/22)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ARC 7912C</w:t>
      </w:r>
      <w:r>
        <w:rPr>
          <w:rFonts w:ascii="Times New Roman" w:hAnsi="Times New Roman"/>
          <w:b w:val="false"/>
          <w:i w:val="false"/>
          <w:color w:val="000000"/>
          <w:sz w:val="21"/>
        </w:rPr>
        <w:t xml:space="preserve"> (Notice ARC 7240C,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71.35.6.pdf" Type="http://schemas.openxmlformats.org/officeDocument/2006/relationships/hyperlink" Id="rId5"/>
    <Relationship TargetMode="External" Target="https://www.legis.iowa.gov/docs/iac/rule/571.35.11.pdf" Type="http://schemas.openxmlformats.org/officeDocument/2006/relationships/hyperlink" Id="rId6"/>
    <Relationship TargetMode="External" Target="https://www.legis.iowa.gov/docs/iac/rule/571.35.2.pdf" Type="http://schemas.openxmlformats.org/officeDocument/2006/relationships/hyperlink" Id="rId7"/>
    <Relationship TargetMode="External" Target="https://www.legis.iowa.gov/docs/ico/chapter/483A.3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