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PUBLICLY OWNED LAKES WATERSHED PROGRAM</w:t>
      </w:r>
    </w:p>
    <w:p>
      <w:pPr>
        <w:spacing w:before="0" w:after="0"/>
        <w:ind w:left="120"/>
        <w:jc w:val="center"/>
      </w:pPr>
      <w:r>
        <w:rPr>
          <w:rFonts w:ascii="Times New Roman" w:hAnsi="Times New Roman"/>
          <w:b w:val="false"/>
          <w:i w:val="false"/>
          <w:color w:val="000000"/>
          <w:sz w:val="14"/>
        </w:rPr>
        <w:t>[Prior to 12/31/86, Conservation Commission[290] Ch 76]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571—31.1</w:t>
      </w:r>
      <w:r>
        <w:rPr>
          <w:rFonts w:ascii="Times New Roman" w:hAnsi="Times New Roman"/>
          <w:b/>
          <w:i w:val="false"/>
          <w:color w:val="000000"/>
          <w:sz w:val="22"/>
        </w:rPr>
        <w:t xml:space="preserve">(456A)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set forth the policy and procedures to be utilized by the department of natural resources to establish a priority list of watersheds above significant public lakes where private landowners are eligible to receive cost-share moneys to establish soil and water conservation practices pursuant to Iowa Code chapter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571—31.2</w:t>
      </w:r>
      <w:r>
        <w:rPr>
          <w:rFonts w:ascii="Times New Roman" w:hAnsi="Times New Roman"/>
          <w:b/>
          <w:i w:val="false"/>
          <w:color w:val="000000"/>
          <w:sz w:val="22"/>
        </w:rPr>
        <w:t xml:space="preserve">(456A)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department of agriculture and land stewardship, division of soil conservation and water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publicly owned lakes watershed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public lake” </w:t>
      </w:r>
      <w:r>
        <w:rPr>
          <w:rFonts w:ascii="Times New Roman" w:hAnsi="Times New Roman"/>
          <w:b w:val="false"/>
          <w:i w:val="false"/>
          <w:color w:val="000000"/>
          <w:sz w:val="22"/>
        </w:rPr>
        <w:t xml:space="preserve">means a lake meeting the criteria set forth in Iowa Code section </w:t>
      </w:r>
      <w:hyperlink r:id="rId6">
        <w:r>
          <w:rPr>
            <w:rStyle w:val="Hyperlink"/>
            <w:rFonts w:ascii="Times New Roman" w:hAnsi="Times New Roman"/>
            <w:b w:val="false"/>
            <w:i w:val="false"/>
            <w:color w:val="000000"/>
            <w:sz w:val="22"/>
          </w:rPr>
          <w:t>456A.33B(1)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“Watershed” </w:t>
      </w:r>
      <w:r>
        <w:rPr>
          <w:rFonts w:ascii="Times New Roman" w:hAnsi="Times New Roman"/>
          <w:b w:val="false"/>
          <w:i w:val="false"/>
          <w:color w:val="000000"/>
          <w:sz w:val="22"/>
        </w:rPr>
        <w:t>means those lands that drain into a significant public lake.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571—31.3</w:t>
      </w:r>
      <w:r>
        <w:rPr>
          <w:rFonts w:ascii="Times New Roman" w:hAnsi="Times New Roman"/>
          <w:b/>
          <w:i w:val="false"/>
          <w:color w:val="000000"/>
          <w:sz w:val="22"/>
        </w:rPr>
        <w:t xml:space="preserve">(456A) </w:t>
      </w:r>
      <w:r>
        <w:rPr>
          <w:rFonts w:ascii="Times New Roman" w:hAnsi="Times New Roman"/>
          <w:b/>
          <w:i w:val="false"/>
          <w:color w:val="000000"/>
          <w:sz w:val="22"/>
        </w:rPr>
        <w:t xml:space="preserve">Priority of watersheds. </w:t>
      </w:r>
      <w:r>
        <w:rPr>
          <w:rFonts w:ascii="Times New Roman" w:hAnsi="Times New Roman"/>
          <w:b w:val="false"/>
          <w:i w:val="false"/>
          <w:color w:val="000000"/>
          <w:sz w:val="22"/>
        </w:rPr>
        <w:t xml:space="preserve">Pursuant to Iowa Code section </w:t>
      </w:r>
      <w:hyperlink r:id="rId7">
        <w:r>
          <w:rPr>
            <w:rStyle w:val="Hyperlink"/>
            <w:rFonts w:ascii="Times New Roman" w:hAnsi="Times New Roman"/>
            <w:b w:val="false"/>
            <w:i w:val="false"/>
            <w:color w:val="000000"/>
            <w:sz w:val="22"/>
          </w:rPr>
          <w:t>456A.33A</w:t>
        </w:r>
      </w:hyperlink>
      <w:r>
        <w:rPr>
          <w:rFonts w:ascii="Times New Roman" w:hAnsi="Times New Roman"/>
          <w:b w:val="false"/>
          <w:i w:val="false"/>
          <w:color w:val="000000"/>
          <w:sz w:val="22"/>
        </w:rPr>
        <w:t>, the commission shall annually establish a priority list of watersheds above existing or proposed significant public lakes.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571—31.4</w:t>
      </w:r>
      <w:r>
        <w:rPr>
          <w:rFonts w:ascii="Times New Roman" w:hAnsi="Times New Roman"/>
          <w:b/>
          <w:i w:val="false"/>
          <w:color w:val="000000"/>
          <w:sz w:val="22"/>
        </w:rPr>
        <w:t xml:space="preserve">(456A) </w:t>
      </w:r>
      <w:r>
        <w:rPr>
          <w:rFonts w:ascii="Times New Roman" w:hAnsi="Times New Roman"/>
          <w:b/>
          <w:i w:val="false"/>
          <w:color w:val="000000"/>
          <w:sz w:val="22"/>
        </w:rPr>
        <w:t xml:space="preserve">Application. </w:t>
      </w:r>
      <w:r>
        <w:rPr>
          <w:rFonts w:ascii="Times New Roman" w:hAnsi="Times New Roman"/>
          <w:b w:val="false"/>
          <w:i w:val="false"/>
          <w:color w:val="000000"/>
          <w:sz w:val="22"/>
        </w:rPr>
        <w:t>Applications shall be submitted annually, as specified by the division. The division will then forward received applications to the department for determination of program eligibility. The department will review applications based on compliance with application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456A.33A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9/1/83, Notice 6/22/83—published 9/28/83, effective 11/3/83]</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3/2/90, Notice 12/27/89—published 3/21/90, effective 4/26/90]</w:t>
      </w:r>
    </w:p>
    <w:p>
      <w:pPr>
        <w:spacing w:before="0" w:after="0"/>
        <w:ind w:left="120"/>
        <w:jc w:val="center"/>
      </w:pPr>
      <w:r>
        <w:rPr>
          <w:rFonts w:ascii="Times New Roman" w:hAnsi="Times New Roman"/>
          <w:b w:val="false"/>
          <w:i w:val="false"/>
          <w:color w:val="000000"/>
          <w:sz w:val="21"/>
        </w:rPr>
        <w:t>[Filed 10/20/95, Notice 8/30/95—published 11/8/95, effective 12/13/95]</w:t>
      </w:r>
    </w:p>
    <w:p>
      <w:pPr>
        <w:spacing w:before="0" w:after="0"/>
        <w:ind w:left="120"/>
        <w:jc w:val="center"/>
      </w:pPr>
      <w:r>
        <w:rPr>
          <w:rFonts w:ascii="Times New Roman" w:hAnsi="Times New Roman"/>
          <w:b w:val="false"/>
          <w:i w:val="false"/>
          <w:color w:val="000000"/>
          <w:sz w:val="21"/>
        </w:rPr>
        <w:t>[Filed 3/19/08, Notice 1/16/08—published 4/9/08, effective 5/14/08]</w:t>
      </w:r>
    </w:p>
    <w:p>
      <w:pPr>
        <w:spacing w:before="0" w:after="0"/>
        <w:ind w:left="120"/>
        <w:jc w:val="center"/>
      </w:pPr>
      <w:r>
        <w:rPr>
          <w:rFonts w:ascii="Times New Roman" w:hAnsi="Times New Roman"/>
          <w:b w:val="false"/>
          <w:i w:val="false"/>
          <w:color w:val="000000"/>
          <w:sz w:val="21"/>
        </w:rPr>
        <w:t>[Filed ARC 7908C</w:t>
      </w:r>
      <w:r>
        <w:rPr>
          <w:rFonts w:ascii="Times New Roman" w:hAnsi="Times New Roman"/>
          <w:b w:val="false"/>
          <w:i w:val="false"/>
          <w:color w:val="000000"/>
          <w:sz w:val="21"/>
        </w:rPr>
        <w:t xml:space="preserve"> (Notice ARC 7229C,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 TargetMode="External" Target="https://www.legis.iowa.gov/docs/ico/chapter/456A.33B.pdf" Type="http://schemas.openxmlformats.org/officeDocument/2006/relationships/hyperlink" Id="rId6"/>
    <Relationship TargetMode="External" Target="https://www.legis.iowa.gov/docs/ico/chapter/456A.33A.pdf" Type="http://schemas.openxmlformats.org/officeDocument/2006/relationships/hyperlink" Id="rId7"/>
    <Relationship TargetMode="External" Target="https://www.legis.iowa.gov/docs/ico/chapter/456A.33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