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BLUFFLANDS PROTECTION PROGRAM AND REVOLVING LOAN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571—24.1</w:t>
      </w:r>
      <w:r>
        <w:rPr>
          <w:rFonts w:ascii="Times New Roman" w:hAnsi="Times New Roman"/>
          <w:b/>
          <w:i w:val="false"/>
          <w:color w:val="000000"/>
          <w:sz w:val="22"/>
        </w:rPr>
        <w:t xml:space="preserve">(161A)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 </w:t>
      </w:r>
      <w:r>
        <w:rPr>
          <w:rFonts w:ascii="Times New Roman" w:hAnsi="Times New Roman"/>
          <w:b w:val="false"/>
          <w:i w:val="false"/>
          <w:color w:val="000000"/>
          <w:sz w:val="22"/>
        </w:rPr>
        <w:t xml:space="preserve">means the bluffland protection revolving fund established in Iowa Code section </w:t>
      </w:r>
      <w:hyperlink r:id="rId5">
        <w:r>
          <w:rPr>
            <w:rStyle w:val="Hyperlink"/>
            <w:rFonts w:ascii="Times New Roman" w:hAnsi="Times New Roman"/>
            <w:b w:val="false"/>
            <w:i w:val="false"/>
            <w:color w:val="000000"/>
            <w:sz w:val="22"/>
          </w:rPr>
          <w:t>161A.80A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“State-owned lands” </w:t>
      </w:r>
      <w:r>
        <w:rPr>
          <w:rFonts w:ascii="Times New Roman" w:hAnsi="Times New Roman"/>
          <w:b w:val="false"/>
          <w:i w:val="false"/>
          <w:color w:val="000000"/>
          <w:sz w:val="22"/>
        </w:rPr>
        <w:t>means lands in which the state holds the fee title through acquisition and lands in which the state holds title by virtue of its sovereignty, including the beds of the Mississippi River and Missouri River.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571—24.2</w:t>
      </w:r>
      <w:r>
        <w:rPr>
          <w:rFonts w:ascii="Times New Roman" w:hAnsi="Times New Roman"/>
          <w:b/>
          <w:i w:val="false"/>
          <w:color w:val="000000"/>
          <w:sz w:val="22"/>
        </w:rPr>
        <w:t xml:space="preserve">(161A) </w:t>
      </w:r>
      <w:r>
        <w:rPr>
          <w:rFonts w:ascii="Times New Roman" w:hAnsi="Times New Roman"/>
          <w:b/>
          <w:i w:val="false"/>
          <w:color w:val="000000"/>
          <w:sz w:val="22"/>
        </w:rPr>
        <w:t xml:space="preserve">Types of acquisitions. </w:t>
      </w:r>
      <w:r>
        <w:rPr>
          <w:rFonts w:ascii="Times New Roman" w:hAnsi="Times New Roman"/>
          <w:b w:val="false"/>
          <w:i w:val="false"/>
          <w:color w:val="000000"/>
          <w:sz w:val="22"/>
        </w:rPr>
        <w:t>Acquisition must be fee simple and title to lands purchased must be free of encumbrances, unless approved by the director on the recommendation of the attorney general. Loan applicants shall submit an abstract of title to lands to be purchased with loans from the fund for examination by the attorney general prior to issuance of any loan.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571—24.3</w:t>
      </w:r>
      <w:r>
        <w:rPr>
          <w:rFonts w:ascii="Times New Roman" w:hAnsi="Times New Roman"/>
          <w:b/>
          <w:i w:val="false"/>
          <w:color w:val="000000"/>
          <w:sz w:val="22"/>
        </w:rPr>
        <w:t xml:space="preserve">(161A) </w:t>
      </w:r>
      <w:r>
        <w:rPr>
          <w:rFonts w:ascii="Times New Roman" w:hAnsi="Times New Roman"/>
          <w:b/>
          <w:i w:val="false"/>
          <w:color w:val="000000"/>
          <w:sz w:val="22"/>
        </w:rPr>
        <w:t xml:space="preserve">Application for loans. </w:t>
      </w:r>
      <w:r>
        <w:rPr>
          <w:rFonts w:ascii="Times New Roman" w:hAnsi="Times New Roman"/>
          <w:b w:val="false"/>
          <w:i w:val="false"/>
          <w:color w:val="000000"/>
          <w:sz w:val="22"/>
        </w:rPr>
        <w:t>Conservation organizations shall apply for loans on forms available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571—24.4</w:t>
      </w:r>
      <w:r>
        <w:rPr>
          <w:rFonts w:ascii="Times New Roman" w:hAnsi="Times New Roman"/>
          <w:b/>
          <w:i w:val="false"/>
          <w:color w:val="000000"/>
          <w:sz w:val="22"/>
        </w:rPr>
        <w:t xml:space="preserve">(161A) </w:t>
      </w:r>
      <w:r>
        <w:rPr>
          <w:rFonts w:ascii="Times New Roman" w:hAnsi="Times New Roman"/>
          <w:b/>
          <w:i w:val="false"/>
          <w:color w:val="000000"/>
          <w:sz w:val="22"/>
        </w:rPr>
        <w:t xml:space="preserve">Approval of loan applications. </w:t>
      </w:r>
      <w:r>
        <w:rPr>
          <w:rFonts w:ascii="Times New Roman" w:hAnsi="Times New Roman"/>
          <w:b w:val="false"/>
          <w:i w:val="false"/>
          <w:color w:val="000000"/>
          <w:sz w:val="22"/>
        </w:rPr>
        <w:t>The director shall appoint a committee to review and evaluate loan applications. The committee shall make appropriate recommendations to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571—24.5</w:t>
      </w:r>
      <w:r>
        <w:rPr>
          <w:rFonts w:ascii="Times New Roman" w:hAnsi="Times New Roman"/>
          <w:b/>
          <w:i w:val="false"/>
          <w:color w:val="000000"/>
          <w:sz w:val="22"/>
        </w:rPr>
        <w:t xml:space="preserve">(161A) </w:t>
      </w:r>
      <w:r>
        <w:rPr>
          <w:rFonts w:ascii="Times New Roman" w:hAnsi="Times New Roman"/>
          <w:b/>
          <w:i w:val="false"/>
          <w:color w:val="000000"/>
          <w:sz w:val="22"/>
        </w:rPr>
        <w:t xml:space="preserve">Interest and other terms of loan agreements. </w:t>
      </w:r>
      <w:r>
        <w:rPr>
          <w:rFonts w:ascii="Times New Roman" w:hAnsi="Times New Roman"/>
          <w:b w:val="false"/>
          <w:i w:val="false"/>
          <w:color w:val="000000"/>
          <w:sz w:val="22"/>
        </w:rPr>
        <w:t xml:space="preserve">Loans shall be for a maximum term of five years with payment due at the end of the loan term. At the end of the loan term, an appropriate conservation easement approved by the department shall be in effect unless the fee title is conveyed to a public entity in trust to be held for conservation purposes. Simple interest at an annual rate of 4 percent shall accrue on the principal amount of the loan and shall be payable with the principal at the end of the loan term. However, interest shall be waived for the period commencing with the effective date of an approved conservation easement. All interest shall be waived if the fee title is conveyed to a public entity in trust for conservation purposes. The loan agreement and documents establishing security for the loan shall be in a form approved by the department and the attorney general. The applicant shall execute and deliver a first mortgage in favor of the state of Iowa acting through the department of natural resources or provide equivalent security to secure the principal and interest due on the loan. The mortgage shall contain provisions for foreclosure in accordance with Iowa Code chapter </w:t>
      </w:r>
      <w:hyperlink r:id="rId6">
        <w:r>
          <w:rPr>
            <w:rStyle w:val="Hyperlink"/>
            <w:rFonts w:ascii="Times New Roman" w:hAnsi="Times New Roman"/>
            <w:b w:val="false"/>
            <w:i w:val="false"/>
            <w:color w:val="000000"/>
            <w:sz w:val="22"/>
          </w:rPr>
          <w:t>654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571—24.6</w:t>
      </w:r>
      <w:r>
        <w:rPr>
          <w:rFonts w:ascii="Times New Roman" w:hAnsi="Times New Roman"/>
          <w:b/>
          <w:i w:val="false"/>
          <w:color w:val="000000"/>
          <w:sz w:val="22"/>
        </w:rPr>
        <w:t xml:space="preserve">(161A) </w:t>
      </w:r>
      <w:r>
        <w:rPr>
          <w:rFonts w:ascii="Times New Roman" w:hAnsi="Times New Roman"/>
          <w:b/>
          <w:i w:val="false"/>
          <w:color w:val="000000"/>
          <w:sz w:val="22"/>
        </w:rPr>
        <w:t xml:space="preserve">Eligible expenditures with loan funds. </w:t>
      </w:r>
      <w:r>
        <w:rPr>
          <w:rFonts w:ascii="Times New Roman" w:hAnsi="Times New Roman"/>
          <w:b w:val="false"/>
          <w:i w:val="false"/>
          <w:color w:val="000000"/>
          <w:sz w:val="22"/>
        </w:rPr>
        <w:t>Loan funds shall be limited to the following: land purchase, usual and customary incidental costs (not including personnel, staff time, and administrative overhead), land appraisal fees and land survey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571—24.7</w:t>
      </w:r>
      <w:r>
        <w:rPr>
          <w:rFonts w:ascii="Times New Roman" w:hAnsi="Times New Roman"/>
          <w:b/>
          <w:i w:val="false"/>
          <w:color w:val="000000"/>
          <w:sz w:val="22"/>
        </w:rPr>
        <w:t xml:space="preserve">(161A) </w:t>
      </w:r>
      <w:r>
        <w:rPr>
          <w:rFonts w:ascii="Times New Roman" w:hAnsi="Times New Roman"/>
          <w:b/>
          <w:i w:val="false"/>
          <w:color w:val="000000"/>
          <w:sz w:val="22"/>
        </w:rPr>
        <w:t xml:space="preserve">Custody and management of land during loan term. </w:t>
      </w:r>
      <w:r>
        <w:rPr>
          <w:rFonts w:ascii="Times New Roman" w:hAnsi="Times New Roman"/>
          <w:b w:val="false"/>
          <w:i w:val="false"/>
          <w:color w:val="000000"/>
          <w:sz w:val="22"/>
        </w:rPr>
        <w:t>Loan recipients must hold title to blufflands acquired throughout the term of the loan. Where practicable, lands purchased with loan funds shall be available for public use under terms and conditions stated in the loan agreement. If the bluffland is sold before the end of the loan term, it must first be offered to a governmental entity. If no governmental entity agrees to purchase the land, it may be sold to a private buyer provided title is first encumbered by a conservation easement granted to the conservation organization or the state of Iowa or its political subdivisions. The easements shall ensure that the natural, scenic or cultural resources of the bluffland are permanently protected. If the bluffland is sold before the end of the loan term, the loan balance shall become due immediately at the time of sale. A loan recipient may enter into agreements, at any time, with governmental entities for the care, management and public use of lands purchased with loan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571—24.8</w:t>
      </w:r>
      <w:r>
        <w:rPr>
          <w:rFonts w:ascii="Times New Roman" w:hAnsi="Times New Roman"/>
          <w:b/>
          <w:i w:val="false"/>
          <w:color w:val="000000"/>
          <w:sz w:val="22"/>
        </w:rPr>
        <w:t xml:space="preserve">(161A) </w:t>
      </w:r>
      <w:r>
        <w:rPr>
          <w:rFonts w:ascii="Times New Roman" w:hAnsi="Times New Roman"/>
          <w:b/>
          <w:i w:val="false"/>
          <w:color w:val="000000"/>
          <w:sz w:val="22"/>
        </w:rPr>
        <w:t xml:space="preserve">Loans not to exceed appraised value. </w:t>
      </w:r>
      <w:r>
        <w:rPr>
          <w:rFonts w:ascii="Times New Roman" w:hAnsi="Times New Roman"/>
          <w:b w:val="false"/>
          <w:i w:val="false"/>
          <w:color w:val="000000"/>
          <w:sz w:val="22"/>
        </w:rPr>
        <w:t xml:space="preserve">Loans from the fund shall not exceed the appraised value of the land to be acquired plus approved incidental expenses listed in rule </w:t>
      </w:r>
      <w:hyperlink r:id="rId7">
        <w:r>
          <w:rPr>
            <w:rStyle w:val="Hyperlink"/>
            <w:rFonts w:ascii="Times New Roman" w:hAnsi="Times New Roman"/>
            <w:b w:val="false"/>
            <w:i w:val="false"/>
            <w:color w:val="000000"/>
            <w:sz w:val="22"/>
          </w:rPr>
          <w:t>571—24.6(161A)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7901C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161A.80A</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161A.80B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8/20/99 after Notice 6/30/99—published 9/8/99, effective 8/20/99]</w:t>
      </w:r>
    </w:p>
    <w:p>
      <w:pPr>
        <w:spacing w:before="0" w:after="0"/>
        <w:ind w:left="120"/>
        <w:jc w:val="center"/>
      </w:pPr>
      <w:r>
        <w:rPr>
          <w:rFonts w:ascii="Times New Roman" w:hAnsi="Times New Roman"/>
          <w:b w:val="false"/>
          <w:i w:val="false"/>
          <w:color w:val="000000"/>
          <w:sz w:val="21"/>
        </w:rPr>
        <w:t>[Filed ARC 7901C</w:t>
      </w:r>
      <w:r>
        <w:rPr>
          <w:rFonts w:ascii="Times New Roman" w:hAnsi="Times New Roman"/>
          <w:b w:val="false"/>
          <w:i w:val="false"/>
          <w:color w:val="000000"/>
          <w:sz w:val="21"/>
        </w:rPr>
        <w:t xml:space="preserve"> (Notice ARC 7256C, IAB 12/27/23)</w:t>
      </w:r>
      <w:r>
        <w:rPr>
          <w:rFonts w:ascii="Times New Roman" w:hAnsi="Times New Roman"/>
          <w:b w:val="false"/>
          <w:i w:val="false"/>
          <w:color w:val="000000"/>
          <w:sz w:val="21"/>
        </w:rPr>
        <w:t>, IAB 5/1/24, effective 6/5/24]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A.80A.pdf" Type="http://schemas.openxmlformats.org/officeDocument/2006/relationships/hyperlink" Id="rId5"/>
    <Relationship TargetMode="External" Target="https://www.legis.iowa.gov/docs/ico/chapter/654.pdf" Type="http://schemas.openxmlformats.org/officeDocument/2006/relationships/hyperlink" Id="rId6"/>
    <Relationship TargetMode="External" Target="https://www.legis.iowa.gov/docs/iac/rule/571.24.6.pdf" Type="http://schemas.openxmlformats.org/officeDocument/2006/relationships/hyperlink" Id="rId7"/>
    <Relationship TargetMode="External" Target="https://www.legis.iowa.gov/docs/ico/chapter/161A.80A.pdf" Type="http://schemas.openxmlformats.org/officeDocument/2006/relationships/hyperlink" Id="rId8"/>
    <Relationship TargetMode="External" Target="https://www.legis.iowa.gov/docs/ico/chapter/161A.80B.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