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WILDLIFE HABITAT PROMOTION WITH LOCAL ENTITIES PROGRAM</w:t>
      </w:r>
    </w:p>
    <w:p>
      <w:pPr>
        <w:spacing w:before="0" w:after="0"/>
        <w:ind w:left="120"/>
        <w:jc w:val="center"/>
      </w:pPr>
      <w:r>
        <w:rPr>
          <w:rFonts w:ascii="Times New Roman" w:hAnsi="Times New Roman"/>
          <w:b w:val="false"/>
          <w:i w:val="false"/>
          <w:color w:val="000000"/>
          <w:sz w:val="14"/>
        </w:rPr>
        <w:t>[Prior to 12/31/86, Conservation Commission[290]]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571—23.1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and definition. </w:t>
      </w:r>
      <w:r>
        <w:rPr>
          <w:rFonts w:ascii="Times New Roman" w:hAnsi="Times New Roman"/>
          <w:b w:val="false"/>
          <w:i w:val="false"/>
          <w:color w:val="000000"/>
          <w:sz w:val="22"/>
        </w:rPr>
        <w:t>The purpose of this chapter is to designate procedures for allotments of wildlife habitat stamp revenues to local entities. These funds must be used specifically for the acquisition of whole or partial interests in land from willing sellers for use as wildlife habitats, and the development and enhancement of wildlife lands and habitat areas. The department will administer the stamp funds for the purposes as stated in the law at both the state and local levels. The following definition applies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of retroactivity” </w:t>
      </w:r>
      <w:r>
        <w:rPr>
          <w:rFonts w:ascii="Times New Roman" w:hAnsi="Times New Roman"/>
          <w:b w:val="false"/>
          <w:i w:val="false"/>
          <w:color w:val="000000"/>
          <w:sz w:val="22"/>
        </w:rPr>
        <w:t>means approval by the department for an applicant to purchase land prior to the next round of wildlife habitat fund application reviews. The waiver allows the applicant to remain eligible for the next round of wildlife habitat funds when extenuating circumstances exist that require an immediate purchase of the subject property by the applicant or a third party that will hold the property until funds become available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571—23.2</w:t>
      </w:r>
      <w:r>
        <w:rPr>
          <w:rFonts w:ascii="Times New Roman" w:hAnsi="Times New Roman"/>
          <w:b/>
          <w:i w:val="false"/>
          <w:color w:val="000000"/>
          <w:sz w:val="22"/>
        </w:rPr>
        <w:t xml:space="preserve">(483A)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Habitat stamp funds are dependent on stamp sales. The amount of moneys available at any time will be determined by revenues received by the department. Final stamp sales for each calendar year will be determined by July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Funds available for local entities shall be specified in the department’s budget in accordance with legislative appropriations. Funds will be made available during a fiscal year of July 1 to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After deducting 5 percent to be held for contingencies, the remaining local share will be available on a semiannual basis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571—23.3</w:t>
      </w:r>
      <w:r>
        <w:rPr>
          <w:rFonts w:ascii="Times New Roman" w:hAnsi="Times New Roman"/>
          <w:b/>
          <w:i w:val="false"/>
          <w:color w:val="000000"/>
          <w:sz w:val="22"/>
        </w:rPr>
        <w:t xml:space="preserve">(483A) </w:t>
      </w:r>
      <w:r>
        <w:rPr>
          <w:rFonts w:ascii="Times New Roman" w:hAnsi="Times New Roman"/>
          <w:b/>
          <w:i w:val="false"/>
          <w:color w:val="000000"/>
          <w:sz w:val="22"/>
        </w:rPr>
        <w:t xml:space="preserve">Project limitations. </w:t>
      </w:r>
      <w:r>
        <w:rPr>
          <w:rFonts w:ascii="Times New Roman" w:hAnsi="Times New Roman"/>
          <w:b w:val="false"/>
          <w:i w:val="false"/>
          <w:color w:val="000000"/>
          <w:sz w:val="22"/>
        </w:rPr>
        <w:t>Because of administrative costs, no application for assistance totaling less than $3,000 (total project cost—$4,000) will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571—23.4</w:t>
      </w:r>
      <w:r>
        <w:rPr>
          <w:rFonts w:ascii="Times New Roman" w:hAnsi="Times New Roman"/>
          <w:b/>
          <w:i w:val="false"/>
          <w:color w:val="000000"/>
          <w:sz w:val="22"/>
        </w:rPr>
        <w:t xml:space="preserve">(483A) </w:t>
      </w:r>
      <w:r>
        <w:rPr>
          <w:rFonts w:ascii="Times New Roman" w:hAnsi="Times New Roman"/>
          <w:b/>
          <w:i w:val="false"/>
          <w:color w:val="000000"/>
          <w:sz w:val="22"/>
        </w:rPr>
        <w:t xml:space="preserve">Eligibility for cost-sharing assistance. </w:t>
      </w:r>
      <w:r>
        <w:rPr>
          <w:rFonts w:ascii="Times New Roman" w:hAnsi="Times New Roman"/>
          <w:b w:val="false"/>
          <w:i w:val="false"/>
          <w:color w:val="000000"/>
          <w:sz w:val="22"/>
        </w:rPr>
        <w:t xml:space="preserve">No project shall be eligible for cost sharing unless it is specifically approved by the commission, or the applicant has received a written waiver of retroactivity from the director, prior to its initiation. A project shall not be eligible for cost sharing unless public hunting and trapping will be allowed; however, the review and selection committee may recommend for commission approval projects with restrictions on hunting and trapping under exceptional circumstances, such as waterfowl refuges. Fees charged for recreational purposes will not be allowed on land purchased or developed with wildlife habitat funds. Wildlife habitat promotion funds shall not be used to fund mitigation lands or banks, or other lands, to satisfy mitigation requirements. Only the following types of project expenditures will be eligible for cost-sharing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Acquisition projects. </w:t>
      </w:r>
      <w:r>
        <w:rPr>
          <w:rFonts w:ascii="Times New Roman" w:hAnsi="Times New Roman"/>
          <w:b w:val="false"/>
          <w:i w:val="false"/>
          <w:color w:val="000000"/>
          <w:sz w:val="22"/>
        </w:rPr>
        <w:t xml:space="preserve">Lands or rights thereto to be acquired in fee or by any other instrument shall be appraised by a competent appraiser and the appraisal approved by the department staff. Applicants whose applications have been approved for funding must submit an appraisal that meets the Uniform Appraisal Standards for Federal Land Acquisitions “Yellow Book” (2016). The appraisal requirements may be waived when the staff determines that they are impractical for a specific project. Cost sharing will not be approved for more than 75 percent of the approved appraised value. Acquisition projects are eligible for either cost sharing by direct payments as described in subrule </w:t>
      </w:r>
      <w:hyperlink r:id="rId5">
        <w:r>
          <w:rPr>
            <w:rStyle w:val="Hyperlink"/>
            <w:rFonts w:ascii="Times New Roman" w:hAnsi="Times New Roman"/>
            <w:b w:val="false"/>
            <w:i w:val="false"/>
            <w:color w:val="000000"/>
            <w:sz w:val="22"/>
          </w:rPr>
          <w:t>23.10(3)</w:t>
        </w:r>
      </w:hyperlink>
      <w:r>
        <w:rPr>
          <w:rFonts w:ascii="Times New Roman" w:hAnsi="Times New Roman"/>
          <w:b w:val="false"/>
          <w:i w:val="false"/>
          <w:color w:val="000000"/>
          <w:sz w:val="22"/>
        </w:rPr>
        <w:t xml:space="preserve"> or by reimbursement to local entities. When a county receives or will receive financial income directly or indirectly from sources that would have been paid to the previous landowner as a result of a purchase agreement or other title transfer action, 75 percent of that income will be transferred to the department unless the grantee has demonstrated and committed to habitat development projects or additional acquisitions on the project site to be funded from the income received. The project review and selection committee must recommend, and the director and commission must approve, plans for the expenditure of income. In the absence of acceptable wildlife habitat development or acquisition plans, the county will transfer 75 percent of income received to the department as it is received. The department will credit that income to the county apportionment of the wildlife habitat stamp fund as described in subrule </w:t>
      </w:r>
      <w:hyperlink r:id="rId6">
        <w:r>
          <w:rPr>
            <w:rStyle w:val="Hyperlink"/>
            <w:rFonts w:ascii="Times New Roman" w:hAnsi="Times New Roman"/>
            <w:b w:val="false"/>
            <w:i w:val="false"/>
            <w:color w:val="000000"/>
            <w:sz w:val="22"/>
          </w:rPr>
          <w:t>23.2(1)</w:t>
        </w:r>
      </w:hyperlink>
      <w:r>
        <w:rPr>
          <w:rFonts w:ascii="Times New Roman" w:hAnsi="Times New Roman"/>
          <w:b w:val="false"/>
          <w:i w:val="false"/>
          <w:color w:val="000000"/>
          <w:sz w:val="22"/>
        </w:rPr>
        <w:t>. The schedule of those reimbursements from a county to the state will be included in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enhancement projects. </w:t>
      </w:r>
      <w:r>
        <w:rPr>
          <w:rFonts w:ascii="Times New Roman" w:hAnsi="Times New Roman"/>
          <w:b w:val="false"/>
          <w:i w:val="false"/>
          <w:color w:val="000000"/>
          <w:sz w:val="22"/>
        </w:rPr>
        <w:t xml:space="preserve">Equipment purchases are not eligible. Donated labor, materials and equipment use, and force account labor and equipment use shall not be eligible for cost-sharing assistance. Force account means the agency’s own labor and equipment use. Development projects are limited to lands legally controlled by the grantee for the expected life of the project. Development projects are eligible only for reimbursement of reasonable costs actually incurred and paid by the public agency.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571—23.5</w:t>
      </w:r>
      <w:r>
        <w:rPr>
          <w:rFonts w:ascii="Times New Roman" w:hAnsi="Times New Roman"/>
          <w:b/>
          <w:i w:val="false"/>
          <w:color w:val="000000"/>
          <w:sz w:val="22"/>
        </w:rPr>
        <w:t xml:space="preserve">(483A) </w:t>
      </w:r>
      <w:r>
        <w:rPr>
          <w:rFonts w:ascii="Times New Roman" w:hAnsi="Times New Roman"/>
          <w:b/>
          <w:i w:val="false"/>
          <w:color w:val="000000"/>
          <w:sz w:val="22"/>
        </w:rPr>
        <w:t xml:space="preserve">Application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shall be submitted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Time of submission. </w:t>
      </w:r>
      <w:r>
        <w:rPr>
          <w:rFonts w:ascii="Times New Roman" w:hAnsi="Times New Roman"/>
          <w:b w:val="false"/>
          <w:i w:val="false"/>
          <w:color w:val="000000"/>
          <w:sz w:val="22"/>
        </w:rPr>
        <w:t>The department shall publish on its website the date and time for submitting a funding proposal, providing at least 90 days’ notice. Applications must be submitted to the department as described on the website. Local entities can obtain a waiver so that acquisition projects may be approved for retroactive payments, provided that funds are available and the project meets all other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Local funding. </w:t>
      </w:r>
      <w:r>
        <w:rPr>
          <w:rFonts w:ascii="Times New Roman" w:hAnsi="Times New Roman"/>
          <w:b w:val="false"/>
          <w:i w:val="false"/>
          <w:color w:val="000000"/>
          <w:sz w:val="22"/>
        </w:rPr>
        <w:t>By signing the application, the applicant agency is certifying that all required match has been identified and is committed and available for the project. An applicant shall certify in writing that it has the 25 percent match committed and available, by signing on the signature block provided on the application, and shall state the means of providing for the local share. All necessary approvals for acquisition and financing shall be included with the application. All financial income received directly or indirectly from sources that would have been paid to the previous landowner as a result of a purchase agreement or other title transfer action will be completely documented in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571—23.6</w:t>
      </w:r>
      <w:r>
        <w:rPr>
          <w:rFonts w:ascii="Times New Roman" w:hAnsi="Times New Roman"/>
          <w:b/>
          <w:i w:val="false"/>
          <w:color w:val="000000"/>
          <w:sz w:val="22"/>
        </w:rPr>
        <w:t xml:space="preserve">(483A)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and selection committee, hereinafter referred to as the committee, composed of one person appointed by the director to represent the department and designated by the director as chairperson and four persons appointed by the director to represent county conservation boards shall recommend grant applications and amendments for funding. Additionally, there shall be at least two alternates designated by the director to represent the county conservation boards in the event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 county conservation board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committee will apply a numerical rating system to each grant application that is considered for fund assistance that will be posted on the department’s website, providing at least 90 days’ notice. The following criteria, with a weight factor for each, will be considered: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11"/>
        <w:gridCol w:w="3578"/>
      </w:tblGrid>
      <w:tr>
        <w:trPr>
          <w:trHeight w:val="225" w:hRule="atLeast"/>
        </w:trPr>
        <w:tc>
          <w:tcPr>
            <w:tcW w:w="7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Wildlife habitat needs</w:t>
            </w:r>
          </w:p>
        </w:tc>
        <w:tc>
          <w:tcPr>
            <w:tcW w:w="357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25" w:hRule="atLeast"/>
        </w:trPr>
        <w:tc>
          <w:tcPr>
            <w:tcW w:w="76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Existing or potential habitat quality</w:t>
            </w:r>
          </w:p>
        </w:tc>
        <w:tc>
          <w:tcPr>
            <w:tcW w:w="357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r>
      <w:tr>
        <w:trPr>
          <w:trHeight w:val="225" w:hRule="atLeast"/>
        </w:trPr>
        <w:tc>
          <w:tcPr>
            <w:tcW w:w="761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Species diversity</w:t>
            </w:r>
          </w:p>
        </w:tc>
        <w:tc>
          <w:tcPr>
            <w:tcW w:w="3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Each criterion will be given a score of from 0 to 10 that is then multiplied by the weight factor. Four additional criteria will be considered in the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 assistance. </w:t>
      </w:r>
      <w:r>
        <w:rPr>
          <w:rFonts w:ascii="Times New Roman" w:hAnsi="Times New Roman"/>
          <w:b w:val="false"/>
          <w:i w:val="false"/>
          <w:color w:val="000000"/>
          <w:sz w:val="22"/>
        </w:rPr>
        <w:t>Any applicant who has never received a prior grant for acquisition of land will be given a bonus of five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Active projects. </w:t>
      </w:r>
      <w:r>
        <w:rPr>
          <w:rFonts w:ascii="Times New Roman" w:hAnsi="Times New Roman"/>
          <w:b w:val="false"/>
          <w:i w:val="false"/>
          <w:color w:val="000000"/>
          <w:sz w:val="22"/>
        </w:rPr>
        <w:t xml:space="preserve">Any applicant who has one or more active projects at the time of application rating will be assessed five penalty points for each project that has not been completed. A project is deemed closed after the project has had a final inspection, all funds have been paid and, in the case of acquisition, the title has been transferred from the 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Urgency. </w:t>
      </w:r>
      <w:r>
        <w:rPr>
          <w:rFonts w:ascii="Times New Roman" w:hAnsi="Times New Roman"/>
          <w:b w:val="false"/>
          <w:i w:val="false"/>
          <w:color w:val="000000"/>
          <w:sz w:val="22"/>
        </w:rPr>
        <w:t>Projects may be given one or two bonus points if there is a strong urgency to acquire lands that might otherwise be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Projects will be given one point if the grant amount requested is at least 35 percent less than the appraised amount or two points if at least 45 percent less than the appraised amount.</w:t>
      </w:r>
    </w:p>
    <w:p>
      <w:pPr>
        <w:spacing w:before="0" w:after="0"/>
        <w:ind w:left="120"/>
        <w:jc w:val="both"/>
      </w:pPr>
      <w:r>
        <w:rPr>
          <w:rFonts w:ascii="Times New Roman" w:hAnsi="Times New Roman"/>
          <w:b w:val="false"/>
          <w:i w:val="false"/>
          <w:color w:val="000000"/>
          <w:sz w:val="22"/>
        </w:rPr>
        <w:t>All points will be totaled for each application, and those applications receiving the highest scores will be recommended for fund assistance to the extent of the allotment for each semiannual period, except that any project scoring a total of not more than 45 points will not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color w:val="000000"/>
          <w:sz w:val="22"/>
        </w:rPr>
        <w:t xml:space="preserve">Applications not selected for fund assistance. </w:t>
      </w:r>
      <w:r>
        <w:rPr>
          <w:rFonts w:ascii="Times New Roman" w:hAnsi="Times New Roman"/>
          <w:b w:val="false"/>
          <w:i w:val="false"/>
          <w:color w:val="000000"/>
          <w:sz w:val="22"/>
        </w:rPr>
        <w:t xml:space="preserve">All applications not selected for fund assistance will be retained on file for consideration and possible funding for three consecutive review periods or until a request for withdrawal is received from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w:t>
      </w:r>
      <w:r>
        <w:rPr>
          <w:rFonts w:ascii="Times New Roman" w:hAnsi="Times New Roman"/>
          <w:b w:val="false"/>
          <w:i w:val="false"/>
          <w:color w:val="000000"/>
          <w:sz w:val="22"/>
        </w:rPr>
        <w:t> </w:t>
      </w:r>
      <w:r>
        <w:rPr>
          <w:rFonts w:ascii="Times New Roman" w:hAnsi="Times New Roman"/>
          <w:b w:val="false"/>
          <w:i/>
          <w:color w:val="000000"/>
          <w:sz w:val="22"/>
        </w:rPr>
        <w:t xml:space="preserve">Rating system not used. </w:t>
      </w:r>
      <w:r>
        <w:rPr>
          <w:rFonts w:ascii="Times New Roman" w:hAnsi="Times New Roman"/>
          <w:b w:val="false"/>
          <w:i w:val="false"/>
          <w:color w:val="000000"/>
          <w:sz w:val="22"/>
        </w:rPr>
        <w:t>The rating system will not be applied during any semiannual period in which the total grant request, including backlogged applications, is less than the allotment. Applications will be reviewed only to determine eligibility and overall desirability, and to ascertain that they meet minimum scoring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w:t>
      </w:r>
      <w:r>
        <w:rPr>
          <w:rFonts w:ascii="Times New Roman" w:hAnsi="Times New Roman"/>
          <w:b w:val="false"/>
          <w:i w:val="false"/>
          <w:color w:val="000000"/>
          <w:sz w:val="22"/>
        </w:rPr>
        <w:t> </w:t>
      </w:r>
      <w:r>
        <w:rPr>
          <w:rFonts w:ascii="Times New Roman" w:hAnsi="Times New Roman"/>
          <w:b w:val="false"/>
          <w:i/>
          <w:color w:val="000000"/>
          <w:sz w:val="22"/>
        </w:rPr>
        <w:t xml:space="preserve">Rating of scores for tiebreakers. </w:t>
      </w:r>
      <w:r>
        <w:rPr>
          <w:rFonts w:ascii="Times New Roman" w:hAnsi="Times New Roman"/>
          <w:b w:val="false"/>
          <w:i w:val="false"/>
          <w:color w:val="000000"/>
          <w:sz w:val="22"/>
        </w:rPr>
        <w:t>If two or more projects receive the same score, the committee shall use the points awarded to the highest weighted factor and so forth, beginning with existing or potential habitat quality, to determine which project has a higher rank. If after considering the existing or potential habitat quality points the project scores remain tied, the committee will then consider the points awarded for species diversity. If after considering the species diversity points the project scores remain tied, the committee will then consider the points awarded for wildlife habitat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571—23.7</w:t>
      </w:r>
      <w:r>
        <w:rPr>
          <w:rFonts w:ascii="Times New Roman" w:hAnsi="Times New Roman"/>
          <w:b/>
          <w:i w:val="false"/>
          <w:color w:val="000000"/>
          <w:sz w:val="22"/>
        </w:rPr>
        <w:t xml:space="preserve">(483A) </w:t>
      </w:r>
      <w:r>
        <w:rPr>
          <w:rFonts w:ascii="Times New Roman" w:hAnsi="Times New Roman"/>
          <w:b/>
          <w:i w:val="false"/>
          <w:color w:val="000000"/>
          <w:sz w:val="22"/>
        </w:rPr>
        <w:t xml:space="preserve">Commission review. </w:t>
      </w:r>
      <w:r>
        <w:rPr>
          <w:rFonts w:ascii="Times New Roman" w:hAnsi="Times New Roman"/>
          <w:b w:val="false"/>
          <w:i w:val="false"/>
          <w:color w:val="000000"/>
          <w:sz w:val="22"/>
        </w:rPr>
        <w:t>The commission will review committee recommendations semiannually at the next following commission meeting. The commission may accept or reject any application recommended for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571—23.8</w:t>
      </w:r>
      <w:r>
        <w:rPr>
          <w:rFonts w:ascii="Times New Roman" w:hAnsi="Times New Roman"/>
          <w:b/>
          <w:i w:val="false"/>
          <w:color w:val="000000"/>
          <w:sz w:val="22"/>
        </w:rPr>
        <w:t xml:space="preserve">(483A)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Projects for which grants have been approved may be amended, if funds are available, to increase or decrease project scope or to increase or decrease project costs and fund assistance. Project changes must be approved by the selection committee and then by the director prior to their inception. Amendments to increase project costs and fund assistance due to cost overruns will not be approved if the work has already been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571—23.9</w:t>
      </w:r>
      <w:r>
        <w:rPr>
          <w:rFonts w:ascii="Times New Roman" w:hAnsi="Times New Roman"/>
          <w:b/>
          <w:i w:val="false"/>
          <w:color w:val="000000"/>
          <w:sz w:val="22"/>
        </w:rPr>
        <w:t xml:space="preserve">(483A) </w:t>
      </w:r>
      <w:r>
        <w:rPr>
          <w:rFonts w:ascii="Times New Roman" w:hAnsi="Times New Roman"/>
          <w:b/>
          <w:i w:val="false"/>
          <w:color w:val="000000"/>
          <w:sz w:val="22"/>
        </w:rPr>
        <w:t xml:space="preserve">Timely commencement of projects. </w:t>
      </w:r>
      <w:r>
        <w:rPr>
          <w:rFonts w:ascii="Times New Roman" w:hAnsi="Times New Roman"/>
          <w:b w:val="false"/>
          <w:i w:val="false"/>
          <w:color w:val="000000"/>
          <w:sz w:val="22"/>
        </w:rPr>
        <w:t>Projects for which grants are approved shall be commenced within six months of the date upon which the grantee is notified that the project is approved, or at another date agreed upon by both parties. Failure to do so may be cause for termination of the project and cancellation of the grant by the commission. Each project will be assigned a project period. Extensions will only be granted in case of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571—23.10</w:t>
      </w:r>
      <w:r>
        <w:rPr>
          <w:rFonts w:ascii="Times New Roman" w:hAnsi="Times New Roman"/>
          <w:b/>
          <w:i w:val="false"/>
          <w:color w:val="000000"/>
          <w:sz w:val="22"/>
        </w:rPr>
        <w:t xml:space="preserve">(483A)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 xml:space="preserve">Grant recipients will be paid 75 percent of all eligible costs incurred on a project up to the amount of the grant unless otherwise specified in the project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color w:val="000000"/>
          <w:sz w:val="22"/>
        </w:rPr>
        <w:t xml:space="preserve">Project billings. </w:t>
      </w:r>
      <w:r>
        <w:rPr>
          <w:rFonts w:ascii="Times New Roman" w:hAnsi="Times New Roman"/>
          <w:b w:val="false"/>
          <w:i w:val="false"/>
          <w:color w:val="000000"/>
          <w:sz w:val="22"/>
        </w:rPr>
        <w:t>Grant recipients shall submit billings for reimbursements or cost sharing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23.10(3)</w:t>
      </w:r>
      <w:r>
        <w:rPr>
          <w:rFonts w:ascii="Times New Roman" w:hAnsi="Times New Roman"/>
          <w:b w:val="false"/>
          <w:i w:val="false"/>
          <w:color w:val="000000"/>
          <w:sz w:val="22"/>
        </w:rPr>
        <w:t> </w:t>
      </w:r>
      <w:r>
        <w:rPr>
          <w:rFonts w:ascii="Times New Roman" w:hAnsi="Times New Roman"/>
          <w:b w:val="false"/>
          <w:i/>
          <w:color w:val="000000"/>
          <w:sz w:val="22"/>
        </w:rPr>
        <w:t xml:space="preserve">Acquisition projects. </w:t>
      </w:r>
      <w:r>
        <w:rPr>
          <w:rFonts w:ascii="Times New Roman" w:hAnsi="Times New Roman"/>
          <w:b w:val="false"/>
          <w:i w:val="false"/>
          <w:color w:val="000000"/>
          <w:sz w:val="22"/>
        </w:rPr>
        <w:t>If clearly requested in the project application and the applicant has shown good cause for such procedure, the department may approve direct payment to the seller of the state’s share provided that marketable fee simple title, free and clear of all liens and encumbrances or material objections, is obtained by the local entity at the time of payments and state funds are then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23.10(4)</w:t>
      </w:r>
      <w:r>
        <w:rPr>
          <w:rFonts w:ascii="Times New Roman" w:hAnsi="Times New Roman"/>
          <w:b w:val="false"/>
          <w:i w:val="false"/>
          <w:color w:val="000000"/>
          <w:sz w:val="22"/>
        </w:rPr>
        <w:t> </w:t>
      </w:r>
      <w:r>
        <w:rPr>
          <w:rFonts w:ascii="Times New Roman" w:hAnsi="Times New Roman"/>
          <w:b w:val="false"/>
          <w:i/>
          <w:color w:val="000000"/>
          <w:sz w:val="22"/>
        </w:rPr>
        <w:t xml:space="preserve">Development projects. </w:t>
      </w:r>
      <w:r>
        <w:rPr>
          <w:rFonts w:ascii="Times New Roman" w:hAnsi="Times New Roman"/>
          <w:b w:val="false"/>
          <w:i w:val="false"/>
          <w:color w:val="000000"/>
          <w:sz w:val="22"/>
        </w:rPr>
        <w:t>On approved development projects, payment will be made by the department only as reimbursement for funds already expended by the local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571—23.11</w:t>
      </w:r>
      <w:r>
        <w:rPr>
          <w:rFonts w:ascii="Times New Roman" w:hAnsi="Times New Roman"/>
          <w:b/>
          <w:i w:val="false"/>
          <w:color w:val="000000"/>
          <w:sz w:val="22"/>
        </w:rPr>
        <w:t xml:space="preserve">(483A)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A grant recipient shall keep adequate records relating to its administration of a project, particularly relating to all incurred costs and direct or indirect income from other sources that normally would have been paid to the previous landowner resulting from a purchase agreement or other title transfer action. A copy of the county’s audits particularly showing such income and disbursements for the grant period will be submitted to the department’s budget and grants bureau. These records shall be available for audit by appropriate personnel of the department and the state auditor’s office. All records shall be retained in accordance with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571—23.12</w:t>
      </w:r>
      <w:r>
        <w:rPr>
          <w:rFonts w:ascii="Times New Roman" w:hAnsi="Times New Roman"/>
          <w:b/>
          <w:i w:val="false"/>
          <w:color w:val="000000"/>
          <w:sz w:val="22"/>
        </w:rPr>
        <w:t xml:space="preserve">(483A) </w:t>
      </w:r>
      <w:r>
        <w:rPr>
          <w:rFonts w:ascii="Times New Roman" w:hAnsi="Times New Roman"/>
          <w:b/>
          <w:i w:val="false"/>
          <w:color w:val="000000"/>
          <w:sz w:val="22"/>
        </w:rPr>
        <w:t xml:space="preserve">Penalties. </w:t>
      </w:r>
      <w:r>
        <w:rPr>
          <w:rFonts w:ascii="Times New Roman" w:hAnsi="Times New Roman"/>
          <w:b w:val="false"/>
          <w:i w:val="false"/>
          <w:color w:val="000000"/>
          <w:sz w:val="22"/>
        </w:rPr>
        <w:t>Whenever any property, real or personal, acquired or developed with habitat stamp fund assistance passes from the control of the grantee or is used for other purposes that conflict with the project purpose, it will be considered an unlawful use of the funds. The department shall notify the local entity of any such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color w:val="000000"/>
          <w:sz w:val="22"/>
        </w:rPr>
        <w:t xml:space="preserve">Remedy. </w:t>
      </w:r>
      <w:r>
        <w:rPr>
          <w:rFonts w:ascii="Times New Roman" w:hAnsi="Times New Roman"/>
          <w:b w:val="false"/>
          <w:i w:val="false"/>
          <w:color w:val="000000"/>
          <w:sz w:val="22"/>
        </w:rPr>
        <w:t>Funds used unlawfully must be returned to the department for inclusion in the wildlife habitat stamp fund, or a property of equal value at current market prices and with commensurate benefits to wildlife must be acquired with local, non-cost-shared funds to replace it. Such replacement must be approved by the commission. The local entity shall have a period of two years after notification by the department in which to correct the unlawful use of funds. The remedies provided by this rule are in addition to others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color w:val="000000"/>
          <w:sz w:val="22"/>
        </w:rPr>
        <w:t xml:space="preserve">Land disposal. </w:t>
      </w:r>
      <w:r>
        <w:rPr>
          <w:rFonts w:ascii="Times New Roman" w:hAnsi="Times New Roman"/>
          <w:b w:val="false"/>
          <w:i w:val="false"/>
          <w:color w:val="000000"/>
          <w:sz w:val="22"/>
        </w:rPr>
        <w:t>Whenever it has been determined and agreed upon by the grantee and the commission that land acquired or developed with habitat stamp fund assistance is no longer of value for the project purpose, or that the local entity has other good cause, the land, with the approval of the commission, may be disposed of and the proceeds thereof used to acquire or develop an area of equal value, or 75 percent of the proceeds shall be returned to the state for inclusion in the wildlife habitat stamp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23.12(3)</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Whenever a local agency is in violation of this rule or the grant agreement, it shall be ineligible for further assistance until the matter has been resolved to the satisfaction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483A.3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9/7/79, Notice 3/7/79—published 10/3/79, effective 11/7/79]</w:t>
      </w:r>
    </w:p>
    <w:p>
      <w:pPr>
        <w:spacing w:before="0" w:after="0"/>
        <w:ind w:left="120"/>
        <w:jc w:val="center"/>
      </w:pPr>
      <w:r>
        <w:rPr>
          <w:rFonts w:ascii="Times New Roman" w:hAnsi="Times New Roman"/>
          <w:b w:val="false"/>
          <w:i w:val="false"/>
          <w:color w:val="000000"/>
          <w:sz w:val="21"/>
        </w:rPr>
        <w:t>[Filed emergency 10/24/79—published 11/14/79, effective 11/7/79]</w:t>
      </w:r>
    </w:p>
    <w:p>
      <w:pPr>
        <w:spacing w:before="0" w:after="0"/>
        <w:ind w:left="120"/>
        <w:jc w:val="center"/>
      </w:pPr>
      <w:r>
        <w:rPr>
          <w:rFonts w:ascii="Times New Roman" w:hAnsi="Times New Roman"/>
          <w:b w:val="false"/>
          <w:i w:val="false"/>
          <w:color w:val="000000"/>
          <w:sz w:val="21"/>
        </w:rPr>
        <w:t>[Filed 1/9/81, Notice 10/29/80—published 2/4/81, effective 3/11/81]</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11/5/82, Notice 9/1/82—published 11/24/82, effective 1/1/83]</w:t>
      </w:r>
    </w:p>
    <w:p>
      <w:pPr>
        <w:spacing w:before="0" w:after="0"/>
        <w:ind w:left="120"/>
        <w:jc w:val="center"/>
      </w:pPr>
      <w:r>
        <w:rPr>
          <w:rFonts w:ascii="Times New Roman" w:hAnsi="Times New Roman"/>
          <w:b w:val="false"/>
          <w:i w:val="false"/>
          <w:color w:val="000000"/>
          <w:sz w:val="21"/>
        </w:rPr>
        <w:t>[Filed 11/4/83, Notice 9/28/83—published 11/23/83, effective 1/1/84]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10/13/89, Notice 8/9/89—published 11/1/89, effective 12/6/89]</w:t>
      </w:r>
    </w:p>
    <w:p>
      <w:pPr>
        <w:spacing w:before="0" w:after="0"/>
        <w:ind w:left="120"/>
        <w:jc w:val="center"/>
      </w:pPr>
      <w:r>
        <w:rPr>
          <w:rFonts w:ascii="Times New Roman" w:hAnsi="Times New Roman"/>
          <w:b w:val="false"/>
          <w:i w:val="false"/>
          <w:color w:val="000000"/>
          <w:sz w:val="21"/>
        </w:rPr>
        <w:t>[Filed 6/7/91, Notice 5/1/91—published 6/26/91, effective 7/31/91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10/11/91, Notice 8/21/91—published 10/30/91, effective 12/4/91]</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2/16/01, Notice 11/1/00—published 3/7/01, effective 4/11/01]</w:t>
      </w:r>
    </w:p>
    <w:p>
      <w:pPr>
        <w:spacing w:before="0" w:after="0"/>
        <w:ind w:left="120"/>
        <w:jc w:val="center"/>
      </w:pPr>
      <w:r>
        <w:rPr>
          <w:rFonts w:ascii="Times New Roman" w:hAnsi="Times New Roman"/>
          <w:b w:val="false"/>
          <w:i w:val="false"/>
          <w:color w:val="000000"/>
          <w:sz w:val="21"/>
        </w:rPr>
        <w:t>[Filed ARC 8885B</w:t>
      </w:r>
      <w:r>
        <w:rPr>
          <w:rFonts w:ascii="Times New Roman" w:hAnsi="Times New Roman"/>
          <w:b w:val="false"/>
          <w:i w:val="false"/>
          <w:color w:val="000000"/>
          <w:sz w:val="21"/>
        </w:rPr>
        <w:t xml:space="preserve"> (Notice ARC 8680B,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7900C</w:t>
      </w:r>
      <w:r>
        <w:rPr>
          <w:rFonts w:ascii="Times New Roman" w:hAnsi="Times New Roman"/>
          <w:b w:val="false"/>
          <w:i w:val="false"/>
          <w:color w:val="000000"/>
          <w:sz w:val="21"/>
        </w:rPr>
        <w:t xml:space="preserve"> (Notice ARC 7235C, IAB 12/27/23)</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Effective date of rule 23.1(7/31/91) delayed until adjournment of the 1992 Session of the General Assembly by the Administrative Rules Review Committee (ARRC) at its meeting held July 12, 1991. Delay lifted at the ARRC meeting held November 13, 1991.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23.10.pdf" Type="http://schemas.openxmlformats.org/officeDocument/2006/relationships/hyperlink" Id="rId5"/>
    <Relationship TargetMode="External" Target="https://www.legis.iowa.gov/docs/iac/rule/571.23.2.pdf" Type="http://schemas.openxmlformats.org/officeDocument/2006/relationships/hyperlink" Id="rId6"/>
    <Relationship TargetMode="External" Target="https://www.legis.iowa.gov/docs/ico/chapter/483A.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