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HABITAT AND PUBLIC ACCESS PROGRAM</w:t>
      </w:r>
    </w:p>
    <w:p>
      <w:pPr>
        <w:spacing w:before="0" w:after="0"/>
        <w:ind w:left="120"/>
        <w:jc w:val="center"/>
      </w:pPr>
      <w:r>
        <w:rPr>
          <w:rFonts w:ascii="Times New Roman" w:hAnsi="Times New Roman"/>
          <w:b w:val="false"/>
          <w:i w:val="false"/>
          <w:color w:val="000000"/>
          <w:sz w:val="14"/>
        </w:rPr>
        <w:t>[Prior to 12/31/86, Conservation Commission[290] Ch 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571—22.1</w:t>
      </w:r>
      <w:r>
        <w:rPr>
          <w:rFonts w:ascii="Times New Roman" w:hAnsi="Times New Roman"/>
          <w:b/>
          <w:i w:val="false"/>
          <w:color w:val="000000"/>
          <w:sz w:val="22"/>
        </w:rPr>
        <w:t xml:space="preserve">(456A,483A) </w:t>
      </w:r>
      <w:r>
        <w:rPr>
          <w:rFonts w:ascii="Times New Roman" w:hAnsi="Times New Roman"/>
          <w:b/>
          <w:i w:val="false"/>
          <w:color w:val="000000"/>
          <w:sz w:val="22"/>
        </w:rPr>
        <w:t xml:space="preserve">Purpose and authority. </w:t>
      </w:r>
      <w:r>
        <w:rPr>
          <w:rFonts w:ascii="Times New Roman" w:hAnsi="Times New Roman"/>
          <w:b w:val="false"/>
          <w:i w:val="false"/>
          <w:color w:val="000000"/>
          <w:sz w:val="22"/>
        </w:rPr>
        <w:t>These rules set forth the procedures to open private lands to public hunting, while providing grant funds to create, manage, and enhance wildlife habitat.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7899C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571—22.2</w:t>
      </w:r>
      <w:r>
        <w:rPr>
          <w:rFonts w:ascii="Times New Roman" w:hAnsi="Times New Roman"/>
          <w:b/>
          <w:i w:val="false"/>
          <w:color w:val="000000"/>
          <w:sz w:val="22"/>
        </w:rPr>
        <w:t xml:space="preserve">(456A,483A) </w:t>
      </w:r>
      <w:r>
        <w:rPr>
          <w:rFonts w:ascii="Times New Roman" w:hAnsi="Times New Roman"/>
          <w:b/>
          <w:i w:val="false"/>
          <w:color w:val="000000"/>
          <w:sz w:val="22"/>
        </w:rPr>
        <w:t xml:space="preserve">Eligibility. </w:t>
      </w:r>
      <w:r>
        <w:rPr>
          <w:rFonts w:ascii="Times New Roman" w:hAnsi="Times New Roman"/>
          <w:b w:val="false"/>
          <w:i w:val="false"/>
          <w:color w:val="000000"/>
          <w:sz w:val="22"/>
        </w:rPr>
        <w:t>In order to be eligible for this program,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w:t>
      </w:r>
      <w:r>
        <w:rPr>
          <w:rFonts w:ascii="Times New Roman" w:hAnsi="Times New Roman"/>
          <w:b w:val="false"/>
          <w:i w:val="false"/>
          <w:color w:val="000000"/>
          <w:sz w:val="22"/>
        </w:rPr>
        <w:t> </w:t>
      </w:r>
      <w:r>
        <w:rPr>
          <w:rFonts w:ascii="Times New Roman" w:hAnsi="Times New Roman"/>
          <w:b w:val="false"/>
          <w:i w:val="false"/>
          <w:color w:val="000000"/>
          <w:sz w:val="22"/>
        </w:rPr>
        <w:t>Have land in Iowa that already contains wildlife habitat or be willing to allow development of wildlife habitat;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w:t>
      </w:r>
      <w:r>
        <w:rPr>
          <w:rFonts w:ascii="Times New Roman" w:hAnsi="Times New Roman"/>
          <w:b w:val="false"/>
          <w:i w:val="false"/>
          <w:color w:val="000000"/>
          <w:sz w:val="22"/>
        </w:rPr>
        <w:t> </w:t>
      </w:r>
      <w:r>
        <w:rPr>
          <w:rFonts w:ascii="Times New Roman" w:hAnsi="Times New Roman"/>
          <w:b w:val="false"/>
          <w:i w:val="false"/>
          <w:color w:val="000000"/>
          <w:sz w:val="22"/>
        </w:rPr>
        <w:t>Enter into an agreement with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w:t>
      </w:r>
      <w:r>
        <w:rPr>
          <w:rFonts w:ascii="Times New Roman" w:hAnsi="Times New Roman"/>
          <w:b w:val="false"/>
          <w:i w:val="false"/>
          <w:color w:val="000000"/>
          <w:sz w:val="22"/>
        </w:rPr>
        <w:t> </w:t>
      </w:r>
      <w:r>
        <w:rPr>
          <w:rFonts w:ascii="Times New Roman" w:hAnsi="Times New Roman"/>
          <w:b w:val="false"/>
          <w:i w:val="false"/>
          <w:color w:val="000000"/>
          <w:sz w:val="22"/>
        </w:rPr>
        <w:t>Allow public access for hunting without charge on at least 40 acres.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7899C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571—22.3</w:t>
      </w:r>
      <w:r>
        <w:rPr>
          <w:rFonts w:ascii="Times New Roman" w:hAnsi="Times New Roman"/>
          <w:b/>
          <w:i w:val="false"/>
          <w:color w:val="000000"/>
          <w:sz w:val="22"/>
        </w:rPr>
        <w:t xml:space="preserve">(456A,483A) </w:t>
      </w:r>
      <w:r>
        <w:rPr>
          <w:rFonts w:ascii="Times New Roman" w:hAnsi="Times New Roman"/>
          <w:b/>
          <w:i w:val="false"/>
          <w:color w:val="000000"/>
          <w:sz w:val="22"/>
        </w:rPr>
        <w:t xml:space="preserve">Application procedures. </w:t>
      </w:r>
      <w:r>
        <w:rPr>
          <w:rFonts w:ascii="Times New Roman" w:hAnsi="Times New Roman"/>
          <w:b w:val="false"/>
          <w:i w:val="false"/>
          <w:color w:val="000000"/>
          <w:sz w:val="22"/>
        </w:rPr>
        <w:t xml:space="preserve">Applications will be accepted only from those eligible pursuant to rule </w:t>
      </w:r>
      <w:hyperlink r:id="rId5">
        <w:r>
          <w:rPr>
            <w:rStyle w:val="Hyperlink"/>
            <w:rFonts w:ascii="Times New Roman" w:hAnsi="Times New Roman"/>
            <w:b w:val="false"/>
            <w:i w:val="false"/>
            <w:color w:val="000000"/>
            <w:sz w:val="22"/>
          </w:rPr>
          <w:t>571—22.2</w:t>
        </w:r>
      </w:hyperlink>
      <w:r>
        <w:rPr>
          <w:rFonts w:ascii="Times New Roman" w:hAnsi="Times New Roman"/>
          <w:b w:val="false"/>
          <w:i w:val="false"/>
          <w:color w:val="000000"/>
          <w:sz w:val="22"/>
        </w:rPr>
        <w:t>(456A,483A).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w:t>
      </w:r>
      <w:r>
        <w:rPr>
          <w:rFonts w:ascii="Times New Roman" w:hAnsi="Times New Roman"/>
          <w:b w:val="false"/>
          <w:i w:val="false"/>
          <w:color w:val="000000"/>
          <w:sz w:val="22"/>
        </w:rPr>
        <w:t> </w:t>
      </w:r>
      <w:r>
        <w:rPr>
          <w:rFonts w:ascii="Times New Roman" w:hAnsi="Times New Roman"/>
          <w:b w:val="false"/>
          <w:i/>
          <w:color w:val="000000"/>
          <w:sz w:val="22"/>
        </w:rPr>
        <w:t xml:space="preserve">Applications. </w:t>
      </w:r>
      <w:r>
        <w:rPr>
          <w:rFonts w:ascii="Times New Roman" w:hAnsi="Times New Roman"/>
          <w:b w:val="false"/>
          <w:i w:val="false"/>
          <w:color w:val="000000"/>
          <w:sz w:val="22"/>
        </w:rPr>
        <w:t>Applications must be submitted on forms furnished by the department. Landowners will be notified in writing within 30 days of submission of an application whether they have been accepted into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22.3(2)</w:t>
      </w:r>
      <w:r>
        <w:rPr>
          <w:rFonts w:ascii="Times New Roman" w:hAnsi="Times New Roman"/>
          <w:b w:val="false"/>
          <w:i w:val="false"/>
          <w:color w:val="000000"/>
          <w:sz w:val="22"/>
        </w:rPr>
        <w:t> </w:t>
      </w:r>
      <w:r>
        <w:rPr>
          <w:rFonts w:ascii="Times New Roman" w:hAnsi="Times New Roman"/>
          <w:b w:val="false"/>
          <w:i/>
          <w:color w:val="000000"/>
          <w:sz w:val="22"/>
        </w:rPr>
        <w:t xml:space="preserve">Project review and selection. </w:t>
      </w:r>
      <w:r>
        <w:rPr>
          <w:rFonts w:ascii="Times New Roman" w:hAnsi="Times New Roman"/>
          <w:b w:val="false"/>
          <w:i w:val="false"/>
          <w:color w:val="000000"/>
          <w:sz w:val="22"/>
        </w:rPr>
        <w:t>Projects will be selected based on the ranked scoring criteria in the application, which prioritize sites with the greatest chance of benefiting wildlife populations and providing adequate recreational hunting opportunities. The criteria include, but are not necessarily limited to, the site’s habitat potential, site suitability, priority locations, and other relevant habitat and hunting access factors.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7899C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571—22.4</w:t>
      </w:r>
      <w:r>
        <w:rPr>
          <w:rFonts w:ascii="Times New Roman" w:hAnsi="Times New Roman"/>
          <w:b/>
          <w:i w:val="false"/>
          <w:color w:val="000000"/>
          <w:sz w:val="22"/>
        </w:rPr>
        <w:t xml:space="preserve">(456A,483A) </w:t>
      </w:r>
      <w:r>
        <w:rPr>
          <w:rFonts w:ascii="Times New Roman" w:hAnsi="Times New Roman"/>
          <w:b/>
          <w:i w:val="false"/>
          <w:color w:val="000000"/>
          <w:sz w:val="22"/>
        </w:rPr>
        <w:t xml:space="preserve">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w:t>
      </w:r>
      <w:r>
        <w:rPr>
          <w:rFonts w:ascii="Times New Roman" w:hAnsi="Times New Roman"/>
          <w:b w:val="false"/>
          <w:i w:val="false"/>
          <w:color w:val="000000"/>
          <w:sz w:val="22"/>
        </w:rPr>
        <w:t> </w:t>
      </w:r>
      <w:r>
        <w:rPr>
          <w:rFonts w:ascii="Times New Roman" w:hAnsi="Times New Roman"/>
          <w:b w:val="false"/>
          <w:i w:val="false"/>
          <w:color w:val="000000"/>
          <w:sz w:val="22"/>
        </w:rPr>
        <w:t>The commission shall enter into an agreement with approved landowners to carry out the purposes of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w:t>
      </w:r>
      <w:r>
        <w:rPr>
          <w:rFonts w:ascii="Times New Roman" w:hAnsi="Times New Roman"/>
          <w:b w:val="false"/>
          <w:i w:val="false"/>
          <w:color w:val="000000"/>
          <w:sz w:val="22"/>
        </w:rPr>
        <w:t> </w:t>
      </w:r>
      <w:r>
        <w:rPr>
          <w:rFonts w:ascii="Times New Roman" w:hAnsi="Times New Roman"/>
          <w:b w:val="false"/>
          <w:i w:val="false"/>
          <w:color w:val="000000"/>
          <w:sz w:val="22"/>
        </w:rPr>
        <w:t xml:space="preserve">Enrolled lands are subject to game management area hunting rules as contained in </w:t>
      </w:r>
      <w:hyperlink r:id="rId6">
        <w:r>
          <w:rPr>
            <w:rStyle w:val="Hyperlink"/>
            <w:rFonts w:ascii="Times New Roman" w:hAnsi="Times New Roman"/>
            <w:b w:val="false"/>
            <w:i w:val="false"/>
            <w:color w:val="000000"/>
            <w:sz w:val="22"/>
          </w:rPr>
          <w:t>571—Chapter 51</w:t>
        </w:r>
      </w:hyperlink>
      <w:r>
        <w:rPr>
          <w:rFonts w:ascii="Times New Roman" w:hAnsi="Times New Roman"/>
          <w:b w:val="false"/>
          <w:i w:val="false"/>
          <w:color w:val="000000"/>
          <w:sz w:val="22"/>
        </w:rPr>
        <w:t>. Access and boundary signs shall be placed and maintained on enrolled lands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7899C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571—22.5</w:t>
      </w:r>
      <w:r>
        <w:rPr>
          <w:rFonts w:ascii="Times New Roman" w:hAnsi="Times New Roman"/>
          <w:b/>
          <w:i w:val="false"/>
          <w:color w:val="000000"/>
          <w:sz w:val="22"/>
        </w:rPr>
        <w:t xml:space="preserve">(456A,483A) </w:t>
      </w:r>
      <w:r>
        <w:rPr>
          <w:rFonts w:ascii="Times New Roman" w:hAnsi="Times New Roman"/>
          <w:b/>
          <w:i w:val="false"/>
          <w:color w:val="000000"/>
          <w:sz w:val="22"/>
        </w:rPr>
        <w:t xml:space="preserve">Cost reimbursement. </w:t>
      </w:r>
      <w:r>
        <w:rPr>
          <w:rFonts w:ascii="Times New Roman" w:hAnsi="Times New Roman"/>
          <w:b w:val="false"/>
          <w:i w:val="false"/>
          <w:color w:val="000000"/>
          <w:sz w:val="22"/>
        </w:rPr>
        <w:t>Whenever a landowner has been found to be in violation of an agreement or terminates the agreement early, the landowner shall reimburse the state a prorated amount of the value of wildlife habitat improvement work completed on the property divided by the entire agreement period multiplied by the unfulfilled years of the agreement, e.g., (total dollars ÷ total years) × unfulfilled years = prorated amount owed. Additionally, the landowner may be assessed early termination penalties that the department may be required to pay a contractor performing the wildlife habitat improvement work on the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7899C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483A.3B</w:t>
        </w:r>
      </w:hyperlink>
      <w:r>
        <w:rPr>
          <w:rFonts w:ascii="Times New Roman" w:hAnsi="Times New Roman"/>
          <w:b w:val="false"/>
          <w:i w:val="false"/>
          <w:color w:val="000000"/>
          <w:sz w:val="22"/>
        </w:rPr>
        <w:t>(3).</w:t>
      </w:r>
    </w:p>
    <w:p>
      <w:pPr>
        <w:spacing w:before="0" w:after="0"/>
        <w:ind w:left="120"/>
        <w:jc w:val="center"/>
      </w:pPr>
      <w:r>
        <w:rPr>
          <w:rFonts w:ascii="Times New Roman" w:hAnsi="Times New Roman"/>
          <w:b w:val="false"/>
          <w:i w:val="false"/>
          <w:color w:val="000000"/>
          <w:sz w:val="21"/>
        </w:rPr>
        <w:t>[Filed emergency after Notice 1/11/80, Notice 11/28/79—published 2/6/80, effective 1/11/80]</w:t>
      </w:r>
    </w:p>
    <w:p>
      <w:pPr>
        <w:spacing w:before="0" w:after="0"/>
        <w:ind w:left="120"/>
        <w:jc w:val="center"/>
      </w:pPr>
      <w:r>
        <w:rPr>
          <w:rFonts w:ascii="Times New Roman" w:hAnsi="Times New Roman"/>
          <w:b w:val="false"/>
          <w:i w:val="false"/>
          <w:color w:val="000000"/>
          <w:sz w:val="21"/>
        </w:rPr>
        <w:t>[Filed 10/7/81, Notice 9/2/81—published 10/28/81, effective 12/2/81]</w:t>
      </w:r>
    </w:p>
    <w:p>
      <w:pPr>
        <w:spacing w:before="0" w:after="0"/>
        <w:ind w:left="120"/>
        <w:jc w:val="center"/>
      </w:pPr>
      <w:r>
        <w:rPr>
          <w:rFonts w:ascii="Times New Roman" w:hAnsi="Times New Roman"/>
          <w:b w:val="false"/>
          <w:i w:val="false"/>
          <w:color w:val="000000"/>
          <w:sz w:val="21"/>
        </w:rPr>
        <w:t>[Filed 10/7/82, Notice 8/4/82—published 10/27/82, effective 12/1/82]</w:t>
      </w:r>
    </w:p>
    <w:p>
      <w:pPr>
        <w:spacing w:before="0" w:after="0"/>
        <w:ind w:left="120"/>
        <w:jc w:val="center"/>
      </w:pPr>
      <w:r>
        <w:rPr>
          <w:rFonts w:ascii="Times New Roman" w:hAnsi="Times New Roman"/>
          <w:b w:val="false"/>
          <w:i w:val="false"/>
          <w:color w:val="000000"/>
          <w:sz w:val="21"/>
        </w:rPr>
        <w:t>[Filed 2/8/85, Notice 1/2/85—published 2/27/85, effective 4/3/85]</w:t>
      </w:r>
    </w:p>
    <w:p>
      <w:pPr>
        <w:spacing w:before="0" w:after="0"/>
        <w:ind w:left="120"/>
        <w:jc w:val="center"/>
      </w:pPr>
      <w:r>
        <w:rPr>
          <w:rFonts w:ascii="Times New Roman" w:hAnsi="Times New Roman"/>
          <w:b w:val="false"/>
          <w:i w:val="false"/>
          <w:color w:val="000000"/>
          <w:sz w:val="21"/>
        </w:rPr>
        <w:t>[Filed 7/10/86, Notice 4/23/86—published 7/30/86, effective 9/3/86]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10/17/86—published 11/5/86, effective 10/17/86]</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12/11/87, Notice 6/3/87—published 12/30/87, effective 2/5/88]</w:t>
      </w:r>
    </w:p>
    <w:p>
      <w:pPr>
        <w:spacing w:before="0" w:after="0"/>
        <w:ind w:left="120"/>
        <w:jc w:val="center"/>
      </w:pPr>
      <w:r>
        <w:rPr>
          <w:rFonts w:ascii="Times New Roman" w:hAnsi="Times New Roman"/>
          <w:b w:val="false"/>
          <w:i w:val="false"/>
          <w:color w:val="000000"/>
          <w:sz w:val="21"/>
        </w:rPr>
        <w:t>[Filed 1/5/90, Notice 11/15/89—published 1/24/90, effective 2/28/90]</w:t>
      </w:r>
    </w:p>
    <w:p>
      <w:pPr>
        <w:spacing w:before="0" w:after="0"/>
        <w:ind w:left="120"/>
        <w:jc w:val="center"/>
      </w:pPr>
      <w:r>
        <w:rPr>
          <w:rFonts w:ascii="Times New Roman" w:hAnsi="Times New Roman"/>
          <w:b w:val="false"/>
          <w:i w:val="false"/>
          <w:color w:val="000000"/>
          <w:sz w:val="21"/>
        </w:rPr>
        <w:t>[Filed 12/17/02, Notice 10/2/02—published 1/8/03, effective 2/12/03]</w:t>
      </w:r>
    </w:p>
    <w:p>
      <w:pPr>
        <w:spacing w:before="0" w:after="0"/>
        <w:ind w:left="120"/>
        <w:jc w:val="center"/>
      </w:pPr>
      <w:r>
        <w:rPr>
          <w:rFonts w:ascii="Times New Roman" w:hAnsi="Times New Roman"/>
          <w:b w:val="false"/>
          <w:i w:val="false"/>
          <w:color w:val="000000"/>
          <w:sz w:val="21"/>
        </w:rPr>
        <w:t>[Filed ARC 9496B</w:t>
      </w:r>
      <w:r>
        <w:rPr>
          <w:rFonts w:ascii="Times New Roman" w:hAnsi="Times New Roman"/>
          <w:b w:val="false"/>
          <w:i w:val="false"/>
          <w:color w:val="000000"/>
          <w:sz w:val="21"/>
        </w:rPr>
        <w:t xml:space="preserve"> (Amended Notice ARC 9423B, IAB 3/9/11; </w:t>
      </w:r>
      <w:r>
        <w:rPr>
          <w:rFonts w:ascii="Times New Roman" w:hAnsi="Times New Roman"/>
          <w:b w:val="false"/>
          <w:i w:val="false"/>
          <w:color w:val="000000"/>
          <w:sz w:val="21"/>
        </w:rPr>
        <w:t>Notice ARC 9325B, IAB 1/12/11)</w:t>
      </w:r>
      <w:r>
        <w:rPr>
          <w:rFonts w:ascii="Times New Roman" w:hAnsi="Times New Roman"/>
          <w:b w:val="false"/>
          <w:i w:val="false"/>
          <w:color w:val="000000"/>
          <w:sz w:val="21"/>
        </w:rPr>
        <w:t>, IAB 5/4/11, effective 6/8/11]</w:t>
      </w:r>
    </w:p>
    <w:p>
      <w:pPr>
        <w:spacing w:before="0" w:after="0"/>
        <w:ind w:left="120"/>
        <w:jc w:val="center"/>
      </w:pPr>
      <w:r>
        <w:rPr>
          <w:rFonts w:ascii="Times New Roman" w:hAnsi="Times New Roman"/>
          <w:b w:val="false"/>
          <w:i w:val="false"/>
          <w:color w:val="000000"/>
          <w:sz w:val="21"/>
        </w:rPr>
        <w:t>[Filed Emergency After Notice ARC 5227C</w:t>
      </w:r>
      <w:r>
        <w:rPr>
          <w:rFonts w:ascii="Times New Roman" w:hAnsi="Times New Roman"/>
          <w:b w:val="false"/>
          <w:i w:val="false"/>
          <w:color w:val="000000"/>
          <w:sz w:val="21"/>
        </w:rPr>
        <w:t xml:space="preserve"> (Notice ARC 5112C, IAB 7/29/20)</w:t>
      </w:r>
      <w:r>
        <w:rPr>
          <w:rFonts w:ascii="Times New Roman" w:hAnsi="Times New Roman"/>
          <w:b w:val="false"/>
          <w:i w:val="false"/>
          <w:color w:val="000000"/>
          <w:sz w:val="21"/>
        </w:rPr>
        <w:t>, IAB 10/7/20, effective 9/17/20]</w:t>
      </w:r>
    </w:p>
    <w:p>
      <w:pPr>
        <w:spacing w:before="0" w:after="0"/>
        <w:ind w:left="120"/>
        <w:jc w:val="center"/>
      </w:pPr>
      <w:r>
        <w:rPr>
          <w:rFonts w:ascii="Times New Roman" w:hAnsi="Times New Roman"/>
          <w:b w:val="false"/>
          <w:i w:val="false"/>
          <w:color w:val="000000"/>
          <w:sz w:val="21"/>
        </w:rPr>
        <w:t>[Filed ARC 7899C</w:t>
      </w:r>
      <w:r>
        <w:rPr>
          <w:rFonts w:ascii="Times New Roman" w:hAnsi="Times New Roman"/>
          <w:b w:val="false"/>
          <w:i w:val="false"/>
          <w:color w:val="000000"/>
          <w:sz w:val="21"/>
        </w:rPr>
        <w:t xml:space="preserve"> (Notice ARC 7251C, IAB 12/27/23)</w:t>
      </w:r>
      <w:r>
        <w:rPr>
          <w:rFonts w:ascii="Times New Roman" w:hAnsi="Times New Roman"/>
          <w:b w:val="false"/>
          <w:i w:val="false"/>
          <w:color w:val="000000"/>
          <w:sz w:val="21"/>
        </w:rPr>
        <w:t>, IAB 5/1/24, effective 6/5/24]</w:t>
      </w:r>
    </w:p>
    <w:p>
      <w:pPr>
        <w:pBdr>
          <w:bottom w:space="2"/>
        </w:pBdr>
        <w:spacing w:before="0" w:after="0"/>
        <w:ind w:left="120"/>
        <w:jc w:val="both"/>
      </w:pPr>
      <w:r>
        <w:rPr>
          <w:rFonts w:ascii="Times New Roman" w:hAnsi="Times New Roman"/>
          <w:b w:val="false"/>
          <w:i w:val="false"/>
          <w:color w:val="000000"/>
          <w:sz w:val="22"/>
        </w:rPr>
        <w:t>Effective date of rule 22.7 delayed 70 days by the Administrative Rules Review Committee at its August 21, 1986, meeting.</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71.22.2.pdf" Type="http://schemas.openxmlformats.org/officeDocument/2006/relationships/hyperlink" Id="rId5"/>
    <Relationship TargetMode="External" Target="https://www.legis.iowa.gov/docs/iac/chapter/571.51.pdf" Type="http://schemas.openxmlformats.org/officeDocument/2006/relationships/hyperlink" Id="rId6"/>
    <Relationship TargetMode="External" Target="https://www.legis.iowa.gov/docs/ico/chapter/483A.3B.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