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GENERAL LICENSE REGULATIONS</w:t>
      </w:r>
    </w:p>
    <w:p>
      <w:pPr>
        <w:spacing w:before="0" w:after="0"/>
        <w:ind w:left="120"/>
        <w:jc w:val="center"/>
      </w:pPr>
      <w:r>
        <w:rPr>
          <w:rFonts w:ascii="Times New Roman" w:hAnsi="Times New Roman"/>
          <w:b w:val="false"/>
          <w:i w:val="false"/>
          <w:color w:val="000000"/>
          <w:sz w:val="14"/>
        </w:rPr>
        <w:t>[Prior to 12/31/86, see Conservation Commission[290] Chs 17, 66, 67, and 75]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571—15.1</w:t>
      </w:r>
      <w:r>
        <w:rPr>
          <w:rFonts w:ascii="Times New Roman" w:hAnsi="Times New Roman"/>
          <w:b/>
          <w:i w:val="false"/>
          <w:color w:val="000000"/>
          <w:sz w:val="22"/>
        </w:rPr>
        <w:t xml:space="preserve">(483A) </w:t>
      </w:r>
      <w:r>
        <w:rPr>
          <w:rFonts w:ascii="Times New Roman" w:hAnsi="Times New Roman"/>
          <w:b/>
          <w:i w:val="false"/>
          <w:color w:val="000000"/>
          <w:sz w:val="22"/>
        </w:rPr>
        <w:t xml:space="preserve">Scope. </w:t>
      </w:r>
      <w:r>
        <w:rPr>
          <w:rFonts w:ascii="Times New Roman" w:hAnsi="Times New Roman"/>
          <w:b w:val="false"/>
          <w:i w:val="false"/>
          <w:color w:val="000000"/>
          <w:sz w:val="22"/>
        </w:rPr>
        <w:t>The purpose of this chapter is to provide rules for license fees, sales, refunds and administration; implement the wildlife violator compact and penalties for multiple offenses; and administer special licenses available for hunting and fishing.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LICENSE SALES, REFUNDS AND ADMINISTRATION</w:t>
      </w:r>
    </w:p>
    <w:p>
      <w:pPr>
        <w:spacing w:before="0" w:after="0"/>
        <w:ind w:left="120"/>
        <w:jc w:val="both"/>
      </w:pPr>
      <w:r>
        <w:rPr>
          <w:rFonts w:ascii="Times New Roman" w:hAnsi="Times New Roman"/>
          <w:b/>
          <w:i w:val="false"/>
          <w:color w:val="000000"/>
          <w:sz w:val="22"/>
        </w:rPr>
        <w:t>571—15.2</w:t>
      </w:r>
      <w:r>
        <w:rPr>
          <w:rFonts w:ascii="Times New Roman" w:hAnsi="Times New Roman"/>
          <w:b/>
          <w:i w:val="false"/>
          <w:color w:val="000000"/>
          <w:sz w:val="22"/>
        </w:rPr>
        <w:t xml:space="preserve">(483A)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division, the following definitions shall apply, in addition to those found in Iowa Code chapter </w:t>
      </w:r>
      <w:hyperlink r:id="rId5">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“Administration fee”</w:t>
      </w:r>
      <w:r>
        <w:rPr>
          <w:rFonts w:ascii="Times New Roman" w:hAnsi="Times New Roman"/>
          <w:b w:val="false"/>
          <w:i w:val="false"/>
          <w:color w:val="000000"/>
          <w:sz w:val="22"/>
        </w:rPr>
        <w:t> </w:t>
      </w:r>
      <w:r>
        <w:rPr>
          <w:rFonts w:ascii="Times New Roman" w:hAnsi="Times New Roman"/>
          <w:b w:val="false"/>
          <w:i w:val="false"/>
          <w:color w:val="000000"/>
          <w:sz w:val="22"/>
        </w:rPr>
        <w:t>means the fee collected by the department to pay a portion of the cost of administering the sale of licenses through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“Immediate family member”</w:t>
      </w:r>
      <w:r>
        <w:rPr>
          <w:rFonts w:ascii="Times New Roman" w:hAnsi="Times New Roman"/>
          <w:b w:val="false"/>
          <w:i w:val="false"/>
          <w:color w:val="000000"/>
          <w:sz w:val="22"/>
        </w:rPr>
        <w:t> </w:t>
      </w:r>
      <w:r>
        <w:rPr>
          <w:rFonts w:ascii="Times New Roman" w:hAnsi="Times New Roman"/>
          <w:b w:val="false"/>
          <w:i w:val="false"/>
          <w:color w:val="000000"/>
          <w:sz w:val="22"/>
        </w:rPr>
        <w:t>means the spouse, a domestic partner, and all minor children of the licensee or person seeking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 person who applies for and receives a license under these rules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“Retail”</w:t>
      </w:r>
      <w:r>
        <w:rPr>
          <w:rFonts w:ascii="Times New Roman" w:hAnsi="Times New Roman"/>
          <w:b w:val="false"/>
          <w:i w:val="false"/>
          <w:color w:val="000000"/>
          <w:sz w:val="22"/>
        </w:rPr>
        <w:t> </w:t>
      </w:r>
      <w:r>
        <w:rPr>
          <w:rFonts w:ascii="Times New Roman" w:hAnsi="Times New Roman"/>
          <w:b w:val="false"/>
          <w:i w:val="false"/>
          <w:color w:val="000000"/>
          <w:sz w:val="22"/>
        </w:rPr>
        <w:t>means the sale of goods or commodities to the ultimate consumer, as opposed to the sale of goods or commodities for further distribution or 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“Wholesale”</w:t>
      </w:r>
      <w:r>
        <w:rPr>
          <w:rFonts w:ascii="Times New Roman" w:hAnsi="Times New Roman"/>
          <w:b w:val="false"/>
          <w:i w:val="false"/>
          <w:color w:val="000000"/>
          <w:sz w:val="22"/>
        </w:rPr>
        <w:t> </w:t>
      </w:r>
      <w:r>
        <w:rPr>
          <w:rFonts w:ascii="Times New Roman" w:hAnsi="Times New Roman"/>
          <w:b w:val="false"/>
          <w:i w:val="false"/>
          <w:color w:val="000000"/>
          <w:sz w:val="22"/>
        </w:rPr>
        <w:t>means the sale of goods or commodities for resale by a retailer, as opposed to the sale of goods or commodities to the ultimate consumer.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571—15.3</w:t>
      </w:r>
      <w:r>
        <w:rPr>
          <w:rFonts w:ascii="Times New Roman" w:hAnsi="Times New Roman"/>
          <w:b/>
          <w:i w:val="false"/>
          <w:color w:val="000000"/>
          <w:sz w:val="22"/>
        </w:rPr>
        <w:t xml:space="preserve">(483A) </w:t>
      </w:r>
      <w:r>
        <w:rPr>
          <w:rFonts w:ascii="Times New Roman" w:hAnsi="Times New Roman"/>
          <w:b/>
          <w:i w:val="false"/>
          <w:color w:val="000000"/>
          <w:sz w:val="22"/>
        </w:rPr>
        <w:t xml:space="preserve">Form of licenses. </w:t>
      </w:r>
      <w:r>
        <w:rPr>
          <w:rFonts w:ascii="Times New Roman" w:hAnsi="Times New Roman"/>
          <w:b w:val="false"/>
          <w:i w:val="false"/>
          <w:color w:val="000000"/>
          <w:sz w:val="22"/>
        </w:rPr>
        <w:t>Every license shall contain a general description of the licensee. At the time of application, the applicant for a license must provide the applicant’s date of birth and either a social security number or a valid Iowa driver’s license number. The license shall be signed by the applicant and shall clearly indicate the privilege granted.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571—15.4</w:t>
      </w:r>
      <w:r>
        <w:rPr>
          <w:rFonts w:ascii="Times New Roman" w:hAnsi="Times New Roman"/>
          <w:b/>
          <w:i w:val="false"/>
          <w:color w:val="000000"/>
          <w:sz w:val="22"/>
        </w:rPr>
        <w:t xml:space="preserve">(483A) </w:t>
      </w:r>
      <w:r>
        <w:rPr>
          <w:rFonts w:ascii="Times New Roman" w:hAnsi="Times New Roman"/>
          <w:b/>
          <w:i w:val="false"/>
          <w:color w:val="000000"/>
          <w:sz w:val="22"/>
        </w:rPr>
        <w:t xml:space="preserve">Administration fee. </w:t>
      </w:r>
      <w:r>
        <w:rPr>
          <w:rFonts w:ascii="Times New Roman" w:hAnsi="Times New Roman"/>
          <w:b w:val="false"/>
          <w:i w:val="false"/>
          <w:color w:val="000000"/>
          <w:sz w:val="22"/>
        </w:rPr>
        <w:t>An administration fee of $1.50 per privilege purchased shall be collected from the purchaser at the time of purchase, except upon the issuance of free landowner deer and turkey hunting licenses, free annual hunting and fishing licenses, free annual fishing licenses, free group home fishing licenses, and boat registrations, renewals, transfers, and duplicates. An administrative fee of $3.65 will be collected from the purchaser at the time of boat registration, renewal, transfer, and duplicate purchases.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571—15.5</w:t>
      </w:r>
      <w:r>
        <w:rPr>
          <w:rFonts w:ascii="Times New Roman" w:hAnsi="Times New Roman"/>
          <w:b/>
          <w:i w:val="false"/>
          <w:color w:val="000000"/>
          <w:sz w:val="22"/>
        </w:rPr>
        <w:t xml:space="preserve">(483A) </w:t>
      </w:r>
      <w:r>
        <w:rPr>
          <w:rFonts w:ascii="Times New Roman" w:hAnsi="Times New Roman"/>
          <w:b/>
          <w:i w:val="false"/>
          <w:color w:val="000000"/>
          <w:sz w:val="22"/>
        </w:rPr>
        <w:t xml:space="preserve">Electronic license sales.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w:t>
      </w:r>
      <w:r>
        <w:rPr>
          <w:rFonts w:ascii="Times New Roman" w:hAnsi="Times New Roman"/>
          <w:b w:val="false"/>
          <w:i w:val="false"/>
          <w:color w:val="000000"/>
          <w:sz w:val="22"/>
        </w:rPr>
        <w:t> </w:t>
      </w:r>
      <w:r>
        <w:rPr>
          <w:rFonts w:ascii="Times New Roman" w:hAnsi="Times New Roman"/>
          <w:b w:val="false"/>
          <w:i/>
          <w:color w:val="000000"/>
          <w:sz w:val="22"/>
        </w:rPr>
        <w:t xml:space="preserve">Designation as license agent. </w:t>
      </w:r>
      <w:r>
        <w:rPr>
          <w:rFonts w:ascii="Times New Roman" w:hAnsi="Times New Roman"/>
          <w:b w:val="false"/>
          <w:i w:val="false"/>
          <w:color w:val="000000"/>
          <w:sz w:val="22"/>
        </w:rPr>
        <w:t>The director may designate a retail business establishment, an office of a governmental entity, or a nonprofit corporation as an agent of electronically issued licenses in accordance with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Application forms to sell electronically issued licenses may be secured by a written or in-person request to the Licensing Section, Department of Natural Resources, 6200 Park Avenue, Suite 200, Des Moines, Iowa 50312. The following information must be provided on the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legal name, address, and telephone number of the entity applying for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hours open for business and general service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brief statement of the nature of the business or service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Type of Internet connection (dial up or high speed) used for accessing the electronic licensing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signature by an owner, partner, authorized corporate official, or public official of the entity applying for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w:t>
      </w:r>
      <w:r>
        <w:rPr>
          <w:rFonts w:ascii="Times New Roman" w:hAnsi="Times New Roman"/>
          <w:b w:val="false"/>
          <w:i w:val="false"/>
          <w:color w:val="000000"/>
          <w:sz w:val="22"/>
        </w:rPr>
        <w:t> </w:t>
      </w:r>
      <w:r>
        <w:rPr>
          <w:rFonts w:ascii="Times New Roman" w:hAnsi="Times New Roman"/>
          <w:b w:val="false"/>
          <w:i/>
          <w:color w:val="000000"/>
          <w:sz w:val="22"/>
        </w:rPr>
        <w:t xml:space="preserve">Application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approve or deny the application to sell electronically issued licenses based upon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need for a license agent in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hours open for business or general service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potential volume of license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apparent financial stability and longevity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number of point-of-sale (POS) terminals available to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Type of Internet connection (dial up or high speed) used for accessing the electronic licensing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necessary, the department may utilize a waiting list for license agent designation. The order of priority for the waiting list will be determined by the time of submittal of a complete and correct application and receipt of the required security deposit, as outlined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w:t>
      </w:r>
      <w:r>
        <w:rPr>
          <w:rFonts w:ascii="Times New Roman" w:hAnsi="Times New Roman"/>
          <w:b w:val="false"/>
          <w:i w:val="false"/>
          <w:color w:val="000000"/>
          <w:sz w:val="22"/>
        </w:rPr>
        <w:t> </w:t>
      </w:r>
      <w:r>
        <w:rPr>
          <w:rFonts w:ascii="Times New Roman" w:hAnsi="Times New Roman"/>
          <w:b w:val="false"/>
          <w:i/>
          <w:color w:val="000000"/>
          <w:sz w:val="22"/>
        </w:rPr>
        <w:t xml:space="preserve">Issuance of electronic licensing equipment. </w:t>
      </w:r>
      <w:r>
        <w:rPr>
          <w:rFonts w:ascii="Times New Roman" w:hAnsi="Times New Roman"/>
          <w:b w:val="false"/>
          <w:i w:val="false"/>
          <w:color w:val="000000"/>
          <w:sz w:val="22"/>
        </w:rPr>
        <w:t>Upon the director’s approval of an application under this rule and designation of a license agent for electronic license sales, the equipment necessary to conduct such sales will be issued to the license agent by the department subject to the following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the issuance of the electronic licensing equipment, the approved license agent shall furnish to the department an equipment security deposit in an amount to be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the issuance of the electronic licensing equipment, the approved license agent shall enter into an electronic license sales agreement with the department which sets forth the terms and conditions of such sales, including the authorized amounts to be retained by the license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the issuance of the electronic licensing equipment, the approved license agent shall furnish to the department a signed authorization agreement for electronic funds transfer pursuant to subrule </w:t>
      </w:r>
      <w:hyperlink r:id="rId6">
        <w:r>
          <w:rPr>
            <w:rStyle w:val="Hyperlink"/>
            <w:rFonts w:ascii="Times New Roman" w:hAnsi="Times New Roman"/>
            <w:b w:val="false"/>
            <w:i w:val="false"/>
            <w:color w:val="000000"/>
            <w:sz w:val="22"/>
          </w:rPr>
          <w:t>15.5(5)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Electronic licensing equipment and supplies must be stored in a manner to provide protection from damage, theft, and unauthorized access. Any damage to or loss of equipment or loss of moneys derived from license sales is the responsibility of the license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termination of the agreement by either party, all equipment and supplies, as outlined in the agreement, must be returned to the department. Failure to return equipment and supplies in a usable condition, excluding normal wear and tear, will result in the forfeiture of deposit in addition to any other remedies available to the department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w:t>
      </w:r>
      <w:r>
        <w:rPr>
          <w:rFonts w:ascii="Times New Roman" w:hAnsi="Times New Roman"/>
          <w:b w:val="false"/>
          <w:i w:val="false"/>
          <w:color w:val="000000"/>
          <w:sz w:val="22"/>
        </w:rPr>
        <w:t> </w:t>
      </w:r>
      <w:r>
        <w:rPr>
          <w:rFonts w:ascii="Times New Roman" w:hAnsi="Times New Roman"/>
          <w:b w:val="false"/>
          <w:i/>
          <w:color w:val="000000"/>
          <w:sz w:val="22"/>
        </w:rPr>
        <w:t xml:space="preserve">License fees. </w:t>
      </w:r>
      <w:r>
        <w:rPr>
          <w:rFonts w:ascii="Times New Roman" w:hAnsi="Times New Roman"/>
          <w:b w:val="false"/>
          <w:i w:val="false"/>
          <w:color w:val="000000"/>
          <w:sz w:val="22"/>
        </w:rPr>
        <w:t>All moneys received from the sale of licenses, less and except the agreed-upon service fee, must be immediately deposited and held in trust for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license agents must furnish to the department a signed authorization agreement for electronic funds transfer authorizing access by the department to a bank account for electronic transfer of license fees received by the license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money due for accumulated sales will be drawn electronically by the department on a weekly basis. The license agent shall be given notice of the amount to be withdrawn at least two business days before the actual transfer of funds occurs. The license agent is responsible for ensuring that enough money is in the account to cover the amount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 agents may accept or decline payment in any manner other than cash, such as personal checks or credit cards, at their discretion. Checks or credit payments must be made payable to the license agent, not to the department. The license agent shall be responsible for ensuring that the license fee is deposited in the electronic transfer account, regardless of the payment or nonpayment status of any check accepted by the license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 xml:space="preserve">Upon the termination of the electronic license sales agreement pursuant to subrule </w:t>
      </w:r>
      <w:hyperlink r:id="rId7">
        <w:r>
          <w:rPr>
            <w:rStyle w:val="Hyperlink"/>
            <w:rFonts w:ascii="Times New Roman" w:hAnsi="Times New Roman"/>
            <w:b w:val="false"/>
            <w:i w:val="false"/>
            <w:color w:val="000000"/>
            <w:sz w:val="22"/>
          </w:rPr>
          <w:t>15.5(7)</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15.5</w:t>
        </w:r>
      </w:hyperlink>
      <w:r>
        <w:rPr>
          <w:rFonts w:ascii="Times New Roman" w:hAnsi="Times New Roman"/>
          <w:b w:val="false"/>
          <w:i w:val="false"/>
          <w:color w:val="000000"/>
          <w:sz w:val="22"/>
        </w:rPr>
        <w:t>(8), the department may disconnect or otherwise block the license agent’s access to the electronic licensing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15.5(7)</w:t>
      </w:r>
      <w:r>
        <w:rPr>
          <w:rFonts w:ascii="Times New Roman" w:hAnsi="Times New Roman"/>
          <w:b w:val="false"/>
          <w:i w:val="false"/>
          <w:color w:val="000000"/>
          <w:sz w:val="22"/>
        </w:rPr>
        <w:t> </w:t>
      </w:r>
      <w:r>
        <w:rPr>
          <w:rFonts w:ascii="Times New Roman" w:hAnsi="Times New Roman"/>
          <w:b w:val="false"/>
          <w:i/>
          <w:color w:val="000000"/>
          <w:sz w:val="22"/>
        </w:rPr>
        <w:t xml:space="preserve">Equipment shut down and termination. </w:t>
      </w:r>
      <w:r>
        <w:rPr>
          <w:rFonts w:ascii="Times New Roman" w:hAnsi="Times New Roman"/>
          <w:b w:val="false"/>
          <w:i w:val="false"/>
          <w:color w:val="000000"/>
          <w:sz w:val="22"/>
        </w:rPr>
        <w:t>The department reserves the right to disconnect the license agent’s access to the electronic licensing system or terminate the license agent’s electronic license sales agreement for cause. Cause shall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Failing to deposit license fees into the electronic transfer account in a sum sufficient to cover the amount due for accumulated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Charging or collecting any fees in excess of those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Discriminating in the sale of a license in violation of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Knowingly making a false entry concerning any license sold or knowingly issuing a license to a person who is not eligible for the license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Using license sale proceeds, other than the service fee, for personal or business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Disconnecting or blocking access to the electronic licensing system for a period of 30 days or more;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Violating any of these rules or the terms of the electronic license sales agreement. Repeated violations of these rules may result in termination of the license agent’s electronic license sales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15.5(8)</w:t>
      </w:r>
      <w:r>
        <w:rPr>
          <w:rFonts w:ascii="Times New Roman" w:hAnsi="Times New Roman"/>
          <w:b w:val="false"/>
          <w:i w:val="false"/>
          <w:color w:val="000000"/>
          <w:sz w:val="22"/>
        </w:rPr>
        <w:t> </w:t>
      </w:r>
      <w:r>
        <w:rPr>
          <w:rFonts w:ascii="Times New Roman" w:hAnsi="Times New Roman"/>
          <w:b w:val="false"/>
          <w:i/>
          <w:color w:val="000000"/>
          <w:sz w:val="22"/>
        </w:rPr>
        <w:t xml:space="preserve">Voluntary termination. </w:t>
      </w:r>
      <w:r>
        <w:rPr>
          <w:rFonts w:ascii="Times New Roman" w:hAnsi="Times New Roman"/>
          <w:b w:val="false"/>
          <w:i w:val="false"/>
          <w:color w:val="000000"/>
          <w:sz w:val="22"/>
        </w:rPr>
        <w:t>A license agent may terminate its designation and the electronic license sales agreement at its discretion by providing written notice to the department. Voluntary termination shall become effective 30 days after the department’s receipt of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571—15.6</w:t>
      </w:r>
      <w:r>
        <w:rPr>
          <w:rFonts w:ascii="Times New Roman" w:hAnsi="Times New Roman"/>
          <w:b/>
          <w:i w:val="false"/>
          <w:color w:val="000000"/>
          <w:sz w:val="22"/>
        </w:rPr>
        <w:t xml:space="preserve">(483A) </w:t>
      </w:r>
      <w:r>
        <w:rPr>
          <w:rFonts w:ascii="Times New Roman" w:hAnsi="Times New Roman"/>
          <w:b/>
          <w:i w:val="false"/>
          <w:color w:val="000000"/>
          <w:sz w:val="22"/>
        </w:rPr>
        <w:t xml:space="preserve">Refund or change requests for special deer and turkey hunting licenses and general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w:t>
      </w:r>
      <w:r>
        <w:rPr>
          <w:rFonts w:ascii="Times New Roman" w:hAnsi="Times New Roman"/>
          <w:b w:val="false"/>
          <w:i w:val="false"/>
          <w:color w:val="000000"/>
          <w:sz w:val="22"/>
        </w:rPr>
        <w:t> </w:t>
      </w:r>
      <w:r>
        <w:rPr>
          <w:rFonts w:ascii="Times New Roman" w:hAnsi="Times New Roman"/>
          <w:b w:val="false"/>
          <w:i/>
          <w:color w:val="000000"/>
          <w:sz w:val="22"/>
        </w:rPr>
        <w:t xml:space="preserve">Death of licensee. </w:t>
      </w:r>
      <w:r>
        <w:rPr>
          <w:rFonts w:ascii="Times New Roman" w:hAnsi="Times New Roman"/>
          <w:b w:val="false"/>
          <w:i w:val="false"/>
          <w:color w:val="000000"/>
          <w:sz w:val="22"/>
        </w:rPr>
        <w:t>The fee for a deer or turkey hunting license will be refunded to the licensee’s estate when a licensee’s death predates the season for which the license was issued and a written request from the licensee’s spouse, executor or estate administrator is received by the department within 90 days of the last date of the season for which the license was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w:t>
      </w:r>
      <w:r>
        <w:rPr>
          <w:rFonts w:ascii="Times New Roman" w:hAnsi="Times New Roman"/>
          <w:b w:val="false"/>
          <w:i w:val="false"/>
          <w:color w:val="000000"/>
          <w:sz w:val="22"/>
        </w:rPr>
        <w:t> </w:t>
      </w:r>
      <w:r>
        <w:rPr>
          <w:rFonts w:ascii="Times New Roman" w:hAnsi="Times New Roman"/>
          <w:b w:val="false"/>
          <w:i/>
          <w:color w:val="000000"/>
          <w:sz w:val="22"/>
        </w:rPr>
        <w:t xml:space="preserve">Military duty. </w:t>
      </w:r>
      <w:r>
        <w:rPr>
          <w:rFonts w:ascii="Times New Roman" w:hAnsi="Times New Roman"/>
          <w:b w:val="false"/>
          <w:i w:val="false"/>
          <w:color w:val="000000"/>
          <w:sz w:val="22"/>
        </w:rPr>
        <w:t>The fee for a deer or turkey hunting license will be refunded if the licensee is a member of the armed forces and is either deployed or activated for a national or state emergency during the season for which the license was issued. A written refund request must be received by the department within 90 days of the last date of the season for which the license was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15.6(3)</w:t>
      </w:r>
      <w:r>
        <w:rPr>
          <w:rFonts w:ascii="Times New Roman" w:hAnsi="Times New Roman"/>
          <w:b w:val="false"/>
          <w:i w:val="false"/>
          <w:color w:val="000000"/>
          <w:sz w:val="22"/>
        </w:rPr>
        <w:t> </w:t>
      </w:r>
      <w:r>
        <w:rPr>
          <w:rFonts w:ascii="Times New Roman" w:hAnsi="Times New Roman"/>
          <w:b w:val="false"/>
          <w:i/>
          <w:color w:val="000000"/>
          <w:sz w:val="22"/>
        </w:rPr>
        <w:t xml:space="preserve">License changes. </w:t>
      </w:r>
      <w:r>
        <w:rPr>
          <w:rFonts w:ascii="Times New Roman" w:hAnsi="Times New Roman"/>
          <w:b w:val="false"/>
          <w:i w:val="false"/>
          <w:color w:val="000000"/>
          <w:sz w:val="22"/>
        </w:rPr>
        <w:t>The department will attempt to change a licensee’s choice of season or type of license if a written request is received by the licensing section prior to the start of the established season.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w:t>
      </w:r>
      <w:r>
        <w:rPr>
          <w:rFonts w:ascii="Times New Roman" w:hAnsi="Times New Roman"/>
          <w:b w:val="false"/>
          <w:i w:val="false"/>
          <w:color w:val="000000"/>
          <w:sz w:val="22"/>
        </w:rPr>
        <w:t> </w:t>
      </w:r>
      <w:r>
        <w:rPr>
          <w:rFonts w:ascii="Times New Roman" w:hAnsi="Times New Roman"/>
          <w:b w:val="false"/>
          <w:i/>
          <w:color w:val="000000"/>
          <w:sz w:val="22"/>
        </w:rPr>
        <w:t xml:space="preserve">Other refund requests. </w:t>
      </w:r>
      <w:r>
        <w:rPr>
          <w:rFonts w:ascii="Times New Roman" w:hAnsi="Times New Roman"/>
          <w:b w:val="false"/>
          <w:i w:val="false"/>
          <w:color w:val="000000"/>
          <w:sz w:val="22"/>
        </w:rPr>
        <w:t>Except as previously described in this rule, the department will not issue refunds for any licenses.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571—15.7</w:t>
      </w:r>
      <w:r>
        <w:rPr>
          <w:rFonts w:ascii="Times New Roman" w:hAnsi="Times New Roman"/>
          <w:b/>
          <w:i w:val="false"/>
          <w:color w:val="000000"/>
          <w:sz w:val="22"/>
        </w:rPr>
        <w:t xml:space="preserve">(483A) </w:t>
      </w:r>
      <w:r>
        <w:rPr>
          <w:rFonts w:ascii="Times New Roman" w:hAnsi="Times New Roman"/>
          <w:b/>
          <w:i w:val="false"/>
          <w:color w:val="000000"/>
          <w:sz w:val="22"/>
        </w:rPr>
        <w:t xml:space="preserve">Proof of residency required. </w:t>
      </w:r>
      <w:r>
        <w:rPr>
          <w:rFonts w:ascii="Times New Roman" w:hAnsi="Times New Roman"/>
          <w:b w:val="false"/>
          <w:i w:val="false"/>
          <w:color w:val="000000"/>
          <w:sz w:val="22"/>
        </w:rPr>
        <w:t>The department shall have the authority to require persons applying for or who have received resident licenses to provide additional information to determine the person’s principal and primary residence or domicile and residency status. Whether a person was issued resident or nonresident licenses by the department in previous years shall not be a determining factor of residency. Persons required to provide additional information under this rule shall be notified in writing by the department and shall have 60 days to submit all required information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571—15.8</w:t>
      </w:r>
      <w:r>
        <w:rPr>
          <w:rFonts w:ascii="Times New Roman" w:hAnsi="Times New Roman"/>
          <w:b/>
          <w:i w:val="false"/>
          <w:color w:val="000000"/>
          <w:sz w:val="22"/>
        </w:rPr>
        <w:t xml:space="preserve">(483A) </w:t>
      </w:r>
      <w:r>
        <w:rPr>
          <w:rFonts w:ascii="Times New Roman" w:hAnsi="Times New Roman"/>
          <w:b/>
          <w:i w:val="false"/>
          <w:color w:val="000000"/>
          <w:sz w:val="22"/>
        </w:rPr>
        <w:t xml:space="preserve">Residency status determination. </w:t>
      </w:r>
      <w:r>
        <w:rPr>
          <w:rFonts w:ascii="Times New Roman" w:hAnsi="Times New Roman"/>
          <w:b w:val="false"/>
          <w:i w:val="false"/>
          <w:color w:val="000000"/>
          <w:sz w:val="22"/>
        </w:rPr>
        <w:t xml:space="preserve">Upon receipt of information requested from the person, the department may determine whether the person is a resident or a nonresident for purposes of these rules and Iowa Code chapter </w:t>
      </w:r>
      <w:hyperlink r:id="rId9">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 The department shall provide the person with written notice of the finding.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571—15.9</w:t>
      </w:r>
      <w:r>
        <w:rPr>
          <w:rFonts w:ascii="Times New Roman" w:hAnsi="Times New Roman"/>
          <w:b/>
          <w:i w:val="false"/>
          <w:color w:val="000000"/>
          <w:sz w:val="22"/>
        </w:rPr>
        <w:t xml:space="preserve">(483A) </w:t>
      </w:r>
      <w:r>
        <w:rPr>
          <w:rFonts w:ascii="Times New Roman" w:hAnsi="Times New Roman"/>
          <w:b/>
          <w:i w:val="false"/>
          <w:color w:val="000000"/>
          <w:sz w:val="22"/>
        </w:rPr>
        <w:t xml:space="preserve">Suspension or revocation of licenses when nonresidents obtain resident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15.9(1)</w:t>
      </w:r>
      <w:r>
        <w:rPr>
          <w:rFonts w:ascii="Times New Roman" w:hAnsi="Times New Roman"/>
          <w:b w:val="false"/>
          <w:i w:val="false"/>
          <w:color w:val="000000"/>
          <w:sz w:val="22"/>
        </w:rPr>
        <w:t> </w:t>
      </w:r>
      <w:r>
        <w:rPr>
          <w:rFonts w:ascii="Times New Roman" w:hAnsi="Times New Roman"/>
          <w:b w:val="false"/>
          <w:i/>
          <w:color w:val="000000"/>
          <w:sz w:val="22"/>
        </w:rPr>
        <w:t xml:space="preserve">Suspension or revocation of license. </w:t>
      </w:r>
      <w:r>
        <w:rPr>
          <w:rFonts w:ascii="Times New Roman" w:hAnsi="Times New Roman"/>
          <w:b w:val="false"/>
          <w:i w:val="false"/>
          <w:color w:val="000000"/>
          <w:sz w:val="22"/>
        </w:rPr>
        <w:t xml:space="preserve">If the department finds that a nonresident has obtained a resident license, the department shall provide written notice of intent to revoke and suspend hunting, fishing, or trapping licenses as provided in </w:t>
      </w:r>
      <w:hyperlink r:id="rId10">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 xml:space="preserve">. If the person requests a hearing, it shall be conducted in accordance with </w:t>
      </w:r>
      <w:hyperlink r:id="rId11">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15.9(2)</w:t>
      </w:r>
      <w:r>
        <w:rPr>
          <w:rFonts w:ascii="Times New Roman" w:hAnsi="Times New Roman"/>
          <w:b w:val="false"/>
          <w:i w:val="false"/>
          <w:color w:val="000000"/>
          <w:sz w:val="22"/>
        </w:rPr>
        <w:t> </w:t>
      </w:r>
      <w:r>
        <w:rPr>
          <w:rFonts w:ascii="Times New Roman" w:hAnsi="Times New Roman"/>
          <w:b w:val="false"/>
          <w:i/>
          <w:color w:val="000000"/>
          <w:sz w:val="22"/>
        </w:rPr>
        <w:t xml:space="preserve">Dates of suspension or revocation. </w:t>
      </w:r>
      <w:r>
        <w:rPr>
          <w:rFonts w:ascii="Times New Roman" w:hAnsi="Times New Roman"/>
          <w:b w:val="false"/>
          <w:i w:val="false"/>
          <w:color w:val="000000"/>
          <w:sz w:val="22"/>
        </w:rPr>
        <w:t xml:space="preserve">The suspension or revocation shall be effective upon failure of the person to request a hearing within 30 days of the notice described in subrule </w:t>
      </w:r>
      <w:hyperlink r:id="rId12">
        <w:r>
          <w:rPr>
            <w:rStyle w:val="Hyperlink"/>
            <w:rFonts w:ascii="Times New Roman" w:hAnsi="Times New Roman"/>
            <w:b w:val="false"/>
            <w:i w:val="false"/>
            <w:color w:val="000000"/>
            <w:sz w:val="22"/>
          </w:rPr>
          <w:t>15.9(1)</w:t>
        </w:r>
      </w:hyperlink>
      <w:r>
        <w:rPr>
          <w:rFonts w:ascii="Times New Roman" w:hAnsi="Times New Roman"/>
          <w:b w:val="false"/>
          <w:i w:val="false"/>
          <w:color w:val="000000"/>
          <w:sz w:val="22"/>
        </w:rPr>
        <w:t xml:space="preserve"> or upon issuance of an order affirming the department’s intent to suspend or revoke the license after the hearing. The person shall immediately surrender all licenses and shall not apply for or obtain new licenses for the full term of the suspension or revocation.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571—15.10</w:t>
      </w:r>
      <w:r>
        <w:rPr>
          <w:rFonts w:ascii="Times New Roman" w:hAnsi="Times New Roman"/>
          <w:b/>
          <w:i w:val="false"/>
          <w:color w:val="000000"/>
          <w:sz w:val="22"/>
        </w:rPr>
        <w:t xml:space="preserve">(483A) </w:t>
      </w:r>
      <w:r>
        <w:rPr>
          <w:rFonts w:ascii="Times New Roman" w:hAnsi="Times New Roman"/>
          <w:b/>
          <w:i w:val="false"/>
          <w:color w:val="000000"/>
          <w:sz w:val="22"/>
        </w:rPr>
        <w:t xml:space="preserve">Licenses—fees. </w:t>
      </w:r>
      <w:r>
        <w:rPr>
          <w:rFonts w:ascii="Times New Roman" w:hAnsi="Times New Roman"/>
          <w:b w:val="false"/>
          <w:i w:val="false"/>
          <w:color w:val="000000"/>
          <w:sz w:val="22"/>
        </w:rPr>
        <w:t>Except as otherwise provided by law, a person shall not fish, trap, hunt, harvest, pursue, catch, kill, take in any manner, use, have possession of, sell, or transport all or a part of any wild animal, bird, game, turtle, or fish, the protection and regulation of which is desirable for the conservation of resources of the state, without first obtaining a license for that purpose and paying a fee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15.10(1)</w:t>
      </w:r>
      <w:r>
        <w:rPr>
          <w:rFonts w:ascii="Times New Roman" w:hAnsi="Times New Roman"/>
          <w:b w:val="false"/>
          <w:i w:val="false"/>
          <w:color w:val="000000"/>
          <w:sz w:val="22"/>
        </w:rPr>
        <w:t> </w:t>
      </w:r>
      <w:r>
        <w:rPr>
          <w:rFonts w:ascii="Times New Roman" w:hAnsi="Times New Roman"/>
          <w:b w:val="false"/>
          <w:i/>
          <w:color w:val="000000"/>
          <w:sz w:val="22"/>
        </w:rPr>
        <w:t xml:space="preserve">Residents.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Fishing license, annual —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Fishing license, three-year — $63.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Fishing license, seven-day — $14.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Fishing license, one-day — $8.75.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Third-line fishing permit, annual — $12.50.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Fishing license, lifetime, 65 years of age or older — $62.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Fishing license, lifetime, disabled veteran or POW —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Paddlefish fishing license, annual — $24.50.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Trout fishing fee — $13.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Boundary waters sport trotline license, annual —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Hunting license, annual —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Hunting license, annual, including the wildlife habitat fee — $34.50.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Hunting license, three-year, including the wildlife habitat fee — $103.75.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Hunting license, lifetime, 65 years of age or older — $62.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Combination hunting and fishing license, annual, including the wildlife habitat fee — $55.50.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Combination hunting and fishing license, lifetime, disabled veteran or POW —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Deer hunting license — $31.50.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First antlerless deer license — $26.75.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Additional antlerless deer license — $12.50.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Wildlife habitat fee — $13.50.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Migratory game bird fee — $10.50.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Wild turkey hunting license — $27.75.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Fur harvester license, annual —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Fur harvester license, annual, including the wildlife habitat fee — $38.75.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Fur harvester license, annual, under 16 years of age — $5.75.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Fur harvester license, lifetime, 65 years of age or older — $62.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Fur harvester license, lifetime, disabled veteran — $59.50.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bb.</w:t>
      </w:r>
      <w:r>
        <w:rPr>
          <w:rFonts w:ascii="Times New Roman" w:hAnsi="Times New Roman"/>
          <w:b w:val="false"/>
          <w:i w:val="false"/>
          <w:color w:val="000000"/>
          <w:sz w:val="22"/>
        </w:rPr>
        <w:t>  </w:t>
      </w:r>
      <w:r>
        <w:rPr>
          <w:rFonts w:ascii="Times New Roman" w:hAnsi="Times New Roman"/>
          <w:b w:val="false"/>
          <w:i w:val="false"/>
          <w:color w:val="000000"/>
          <w:sz w:val="22"/>
        </w:rPr>
        <w:t>Fur dealer license, annual — $277.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cc.</w:t>
      </w:r>
      <w:r>
        <w:rPr>
          <w:rFonts w:ascii="Times New Roman" w:hAnsi="Times New Roman"/>
          <w:b w:val="false"/>
          <w:i w:val="false"/>
          <w:color w:val="000000"/>
          <w:sz w:val="22"/>
        </w:rPr>
        <w:t>  </w:t>
      </w:r>
      <w:r>
        <w:rPr>
          <w:rFonts w:ascii="Times New Roman" w:hAnsi="Times New Roman"/>
          <w:b w:val="false"/>
          <w:i w:val="false"/>
          <w:color w:val="000000"/>
          <w:sz w:val="22"/>
        </w:rPr>
        <w:t>Aquaculture unit license, annual — $31.50.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dd.</w:t>
      </w:r>
      <w:r>
        <w:rPr>
          <w:rFonts w:ascii="Times New Roman" w:hAnsi="Times New Roman"/>
          <w:b w:val="false"/>
          <w:i w:val="false"/>
          <w:color w:val="000000"/>
          <w:sz w:val="22"/>
        </w:rPr>
        <w:t>  </w:t>
      </w:r>
      <w:r>
        <w:rPr>
          <w:rFonts w:ascii="Times New Roman" w:hAnsi="Times New Roman"/>
          <w:b w:val="false"/>
          <w:i w:val="false"/>
          <w:color w:val="000000"/>
          <w:sz w:val="22"/>
        </w:rPr>
        <w:t>Retail bait dealer license, annual — $37.75.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ee.</w:t>
      </w:r>
      <w:r>
        <w:rPr>
          <w:rFonts w:ascii="Times New Roman" w:hAnsi="Times New Roman"/>
          <w:b w:val="false"/>
          <w:i w:val="false"/>
          <w:color w:val="000000"/>
          <w:sz w:val="22"/>
        </w:rPr>
        <w:t>  </w:t>
      </w:r>
      <w:r>
        <w:rPr>
          <w:rFonts w:ascii="Times New Roman" w:hAnsi="Times New Roman"/>
          <w:b w:val="false"/>
          <w:i w:val="false"/>
          <w:color w:val="000000"/>
          <w:sz w:val="22"/>
        </w:rPr>
        <w:t>Wholesale bait dealer license, annual — $153.75.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ff.</w:t>
      </w:r>
      <w:r>
        <w:rPr>
          <w:rFonts w:ascii="Times New Roman" w:hAnsi="Times New Roman"/>
          <w:b w:val="false"/>
          <w:i w:val="false"/>
          <w:color w:val="000000"/>
          <w:sz w:val="22"/>
        </w:rPr>
        <w:t>  </w:t>
      </w:r>
      <w:r>
        <w:rPr>
          <w:rFonts w:ascii="Times New Roman" w:hAnsi="Times New Roman"/>
          <w:b w:val="false"/>
          <w:i w:val="false"/>
          <w:color w:val="000000"/>
          <w:sz w:val="22"/>
        </w:rPr>
        <w:t>Game breeder license, annual — $18.75.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gg.</w:t>
      </w:r>
      <w:r>
        <w:rPr>
          <w:rFonts w:ascii="Times New Roman" w:hAnsi="Times New Roman"/>
          <w:b w:val="false"/>
          <w:i w:val="false"/>
          <w:color w:val="000000"/>
          <w:sz w:val="22"/>
        </w:rPr>
        <w:t>  </w:t>
      </w:r>
      <w:r>
        <w:rPr>
          <w:rFonts w:ascii="Times New Roman" w:hAnsi="Times New Roman"/>
          <w:b w:val="false"/>
          <w:i w:val="false"/>
          <w:color w:val="000000"/>
          <w:sz w:val="22"/>
        </w:rPr>
        <w:t>Taxidermy license, annual — $18.75.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hh.</w:t>
      </w:r>
      <w:r>
        <w:rPr>
          <w:rFonts w:ascii="Times New Roman" w:hAnsi="Times New Roman"/>
          <w:b w:val="false"/>
          <w:i w:val="false"/>
          <w:color w:val="000000"/>
          <w:sz w:val="22"/>
        </w:rPr>
        <w:t>  </w:t>
      </w:r>
      <w:r>
        <w:rPr>
          <w:rFonts w:ascii="Times New Roman" w:hAnsi="Times New Roman"/>
          <w:b w:val="false"/>
          <w:i w:val="false"/>
          <w:color w:val="000000"/>
          <w:sz w:val="22"/>
        </w:rPr>
        <w:t>Trout fishing license, lifetime, 65 years of age or older — $66.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ii.</w:t>
      </w:r>
      <w:r>
        <w:rPr>
          <w:rFonts w:ascii="Times New Roman" w:hAnsi="Times New Roman"/>
          <w:b w:val="false"/>
          <w:i w:val="false"/>
          <w:color w:val="000000"/>
          <w:sz w:val="22"/>
        </w:rPr>
        <w:t>  </w:t>
      </w:r>
      <w:r>
        <w:rPr>
          <w:rFonts w:ascii="Times New Roman" w:hAnsi="Times New Roman"/>
          <w:b w:val="false"/>
          <w:i w:val="false"/>
          <w:color w:val="000000"/>
          <w:sz w:val="22"/>
        </w:rPr>
        <w:t>Trout fishing license, lifetime, disabled veteran — $66.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jj.</w:t>
      </w:r>
      <w:r>
        <w:rPr>
          <w:rFonts w:ascii="Times New Roman" w:hAnsi="Times New Roman"/>
          <w:b w:val="false"/>
          <w:i w:val="false"/>
          <w:color w:val="000000"/>
          <w:sz w:val="22"/>
        </w:rPr>
        <w:t>  </w:t>
      </w:r>
      <w:r>
        <w:rPr>
          <w:rFonts w:ascii="Times New Roman" w:hAnsi="Times New Roman"/>
          <w:b w:val="false"/>
          <w:i w:val="false"/>
          <w:color w:val="000000"/>
          <w:sz w:val="22"/>
        </w:rPr>
        <w:t>Fishing license, annual, veteran —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kk.</w:t>
      </w:r>
      <w:r>
        <w:rPr>
          <w:rFonts w:ascii="Times New Roman" w:hAnsi="Times New Roman"/>
          <w:b w:val="false"/>
          <w:i w:val="false"/>
          <w:color w:val="000000"/>
          <w:sz w:val="22"/>
        </w:rPr>
        <w:t>  </w:t>
      </w:r>
      <w:r>
        <w:rPr>
          <w:rFonts w:ascii="Times New Roman" w:hAnsi="Times New Roman"/>
          <w:b w:val="false"/>
          <w:i w:val="false"/>
          <w:color w:val="000000"/>
          <w:sz w:val="22"/>
        </w:rPr>
        <w:t>Combination hunting and fishing license, annual, veteran — $5.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15.10(2)</w:t>
      </w:r>
      <w:r>
        <w:rPr>
          <w:rFonts w:ascii="Times New Roman" w:hAnsi="Times New Roman"/>
          <w:b w:val="false"/>
          <w:i w:val="false"/>
          <w:color w:val="000000"/>
          <w:sz w:val="22"/>
        </w:rPr>
        <w:t> </w:t>
      </w:r>
      <w:r>
        <w:rPr>
          <w:rFonts w:ascii="Times New Roman" w:hAnsi="Times New Roman"/>
          <w:b w:val="false"/>
          <w:i/>
          <w:color w:val="000000"/>
          <w:sz w:val="22"/>
        </w:rPr>
        <w:t xml:space="preserve">Nonresidents.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Fishing license, annual — $48.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Fishing license, seven-day — $37.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Fishing license, three-day —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Fishing license, one-day — $10.50.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Third-line fishing permit, annual — $12.50.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Paddlefish fishing license, annual — $49.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Trout fishing fee — $16.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Boundary waters sport trotline license, annual — $49.75.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Hunting license, annual — $135.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Hunting license, annual, including the wildlife habitat fee — $149.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Hunting license, annual, under 18 years of age — $31.50.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Hunting license, annual, under 18 years of age, including the wildlife habitat fee — $45.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Hunting license, five-day (not applicable to deer or wild turkey seasons) — $78.50.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Hunting license, five-day, including the wildlife habitat fee (not applicable to deer or wild turkey seasons) — $92.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Deer hunting license, antlered or any-sex deer — $362.75.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Deer hunting license, antlerless-deer-only, required with the purchase of an antlered or any-sex deer hunting license — $153.75.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Deer hunting license, antlerless-deer-only — $276.50.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 xml:space="preserve">Preference point issued under Iowa Code section </w:t>
      </w:r>
      <w:hyperlink r:id="rId13">
        <w:r>
          <w:rPr>
            <w:rStyle w:val="Hyperlink"/>
            <w:rFonts w:ascii="Times New Roman" w:hAnsi="Times New Roman"/>
            <w:b w:val="false"/>
            <w:i w:val="false"/>
            <w:color w:val="000000"/>
            <w:sz w:val="22"/>
          </w:rPr>
          <w:t>483A.7</w:t>
        </w:r>
      </w:hyperlink>
      <w:r>
        <w:rPr>
          <w:rFonts w:ascii="Times New Roman" w:hAnsi="Times New Roman"/>
          <w:b w:val="false"/>
          <w:i w:val="false"/>
          <w:color w:val="000000"/>
          <w:sz w:val="22"/>
        </w:rPr>
        <w:t>(3)</w:t>
      </w:r>
      <w:r>
        <w:rPr>
          <w:rFonts w:ascii="Times New Roman" w:hAnsi="Times New Roman"/>
          <w:b w:val="false"/>
          <w:i/>
          <w:color w:val="000000"/>
          <w:sz w:val="22"/>
        </w:rPr>
        <w:t>“b”</w:t>
      </w:r>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483A.8</w:t>
        </w:r>
      </w:hyperlink>
      <w:r>
        <w:rPr>
          <w:rFonts w:ascii="Times New Roman" w:hAnsi="Times New Roman"/>
          <w:b w:val="false"/>
          <w:i w:val="false"/>
          <w:color w:val="000000"/>
          <w:sz w:val="22"/>
        </w:rPr>
        <w:t>(3)</w:t>
      </w:r>
      <w:r>
        <w:rPr>
          <w:rFonts w:ascii="Times New Roman" w:hAnsi="Times New Roman"/>
          <w:b w:val="false"/>
          <w:i/>
          <w:color w:val="000000"/>
          <w:sz w:val="22"/>
        </w:rPr>
        <w:t>“e”</w:t>
      </w:r>
      <w:r>
        <w:rPr>
          <w:rFonts w:ascii="Times New Roman" w:hAnsi="Times New Roman"/>
          <w:b w:val="false"/>
          <w:i w:val="false"/>
          <w:color w:val="000000"/>
          <w:sz w:val="22"/>
        </w:rPr>
        <w:t xml:space="preserve"> — $61.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 xml:space="preserve">Holiday deer hunting license issued under Iowa Code section </w:t>
      </w:r>
      <w:hyperlink r:id="rId15">
        <w:r>
          <w:rPr>
            <w:rStyle w:val="Hyperlink"/>
            <w:rFonts w:ascii="Times New Roman" w:hAnsi="Times New Roman"/>
            <w:b w:val="false"/>
            <w:i w:val="false"/>
            <w:color w:val="000000"/>
            <w:sz w:val="22"/>
          </w:rPr>
          <w:t>483A.8</w:t>
        </w:r>
      </w:hyperlink>
      <w:r>
        <w:rPr>
          <w:rFonts w:ascii="Times New Roman" w:hAnsi="Times New Roman"/>
          <w:b w:val="false"/>
          <w:i w:val="false"/>
          <w:color w:val="000000"/>
          <w:sz w:val="22"/>
        </w:rPr>
        <w:t xml:space="preserve">(6), </w:t>
      </w:r>
      <w:r>
        <w:br/>
      </w:r>
      <w:r>
        <w:rPr>
          <w:rFonts w:ascii="Times New Roman" w:hAnsi="Times New Roman"/>
          <w:b w:val="false"/>
          <w:i w:val="false"/>
          <w:color w:val="000000"/>
          <w:sz w:val="22"/>
        </w:rPr>
        <w:t>antlerless-deer-only — $92.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Wildlife habitat fee — $13.50.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Migratory game bird fee — $10.50.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Wild turkey hunting license, annual — $122.75.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Fur harvester license, annual — $243.50.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Fur harvester license, annual, including the wildlife habitat fee — $257.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Fur dealer license, annual — $615.75.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Fur dealer license, one-day, one location — $307.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Location permit for fur dealer — $69.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bb.</w:t>
      </w:r>
      <w:r>
        <w:rPr>
          <w:rFonts w:ascii="Times New Roman" w:hAnsi="Times New Roman"/>
          <w:b w:val="false"/>
          <w:i w:val="false"/>
          <w:color w:val="000000"/>
          <w:sz w:val="22"/>
        </w:rPr>
        <w:t>  </w:t>
      </w:r>
      <w:r>
        <w:rPr>
          <w:rFonts w:ascii="Times New Roman" w:hAnsi="Times New Roman"/>
          <w:b w:val="false"/>
          <w:i w:val="false"/>
          <w:color w:val="000000"/>
          <w:sz w:val="22"/>
        </w:rPr>
        <w:t>Aquaculture unit license, annual — $69.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cc.</w:t>
      </w:r>
      <w:r>
        <w:rPr>
          <w:rFonts w:ascii="Times New Roman" w:hAnsi="Times New Roman"/>
          <w:b w:val="false"/>
          <w:i w:val="false"/>
          <w:color w:val="000000"/>
          <w:sz w:val="22"/>
        </w:rPr>
        <w:t>  </w:t>
      </w:r>
      <w:r>
        <w:rPr>
          <w:rFonts w:ascii="Times New Roman" w:hAnsi="Times New Roman"/>
          <w:b w:val="false"/>
          <w:i w:val="false"/>
          <w:color w:val="000000"/>
          <w:sz w:val="22"/>
        </w:rPr>
        <w:t>Retail bait dealer license, annual — $153.75.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dd.</w:t>
      </w:r>
      <w:r>
        <w:rPr>
          <w:rFonts w:ascii="Times New Roman" w:hAnsi="Times New Roman"/>
          <w:b w:val="false"/>
          <w:i w:val="false"/>
          <w:color w:val="000000"/>
          <w:sz w:val="22"/>
        </w:rPr>
        <w:t>  </w:t>
      </w:r>
      <w:r>
        <w:rPr>
          <w:rFonts w:ascii="Times New Roman" w:hAnsi="Times New Roman"/>
          <w:b w:val="false"/>
          <w:i w:val="false"/>
          <w:color w:val="000000"/>
          <w:sz w:val="22"/>
        </w:rPr>
        <w:t>Wholesale bait dealer license, annual — $307.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ee.</w:t>
      </w:r>
      <w:r>
        <w:rPr>
          <w:rFonts w:ascii="Times New Roman" w:hAnsi="Times New Roman"/>
          <w:b w:val="false"/>
          <w:i w:val="false"/>
          <w:color w:val="000000"/>
          <w:sz w:val="22"/>
        </w:rPr>
        <w:t>  </w:t>
      </w:r>
      <w:r>
        <w:rPr>
          <w:rFonts w:ascii="Times New Roman" w:hAnsi="Times New Roman"/>
          <w:b w:val="false"/>
          <w:i w:val="false"/>
          <w:color w:val="000000"/>
          <w:sz w:val="22"/>
        </w:rPr>
        <w:t>Game breeder license, annual — $32.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ff.</w:t>
      </w:r>
      <w:r>
        <w:rPr>
          <w:rFonts w:ascii="Times New Roman" w:hAnsi="Times New Roman"/>
          <w:b w:val="false"/>
          <w:i w:val="false"/>
          <w:color w:val="000000"/>
          <w:sz w:val="22"/>
        </w:rPr>
        <w:t>  </w:t>
      </w:r>
      <w:r>
        <w:rPr>
          <w:rFonts w:ascii="Times New Roman" w:hAnsi="Times New Roman"/>
          <w:b w:val="false"/>
          <w:i w:val="false"/>
          <w:color w:val="000000"/>
          <w:sz w:val="22"/>
        </w:rPr>
        <w:t>Taxidermy license, annual — $32.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i w:val="false"/>
          <w:color w:val="000000"/>
          <w:sz w:val="16"/>
        </w:rPr>
        <w:t>ARC 0263D</w:t>
      </w:r>
      <w:r>
        <w:rPr>
          <w:rFonts w:ascii="Times New Roman" w:hAnsi="Times New Roman"/>
          <w:b w:val="false"/>
          <w:i w:val="false"/>
          <w:color w:val="000000"/>
          <w:sz w:val="16"/>
        </w:rPr>
        <w:t>, IAB 5/13/26, effective 12/15/26</w:t>
      </w:r>
      <w:r>
        <w:rPr>
          <w:rFonts w:ascii="Times New Roman" w:hAnsi="Times New Roman"/>
          <w:b w:val="false"/>
          <w:i w:val="false"/>
          <w:color w:val="000000"/>
          <w:sz w:val="16"/>
        </w:rPr>
        <w:t xml:space="preserve">; </w:t>
      </w:r>
      <w:r>
        <w:rPr>
          <w:rFonts w:ascii="Times New Roman" w:hAnsi="Times New Roman"/>
          <w:b/>
          <w:i w:val="false"/>
          <w:color w:val="000000"/>
          <w:sz w:val="16"/>
        </w:rPr>
        <w:t>ARC 0264D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571—15.11</w:t>
      </w:r>
      <w:r>
        <w:rPr>
          <w:rFonts w:ascii="Times New Roman" w:hAnsi="Times New Roman"/>
          <w:b w:val="false"/>
          <w:i w:val="false"/>
          <w:color w:val="000000"/>
          <w:sz w:val="22"/>
        </w:rPr>
        <w:t xml:space="preserve"> to </w:t>
      </w:r>
      <w:r>
        <w:rPr>
          <w:rFonts w:ascii="Times New Roman" w:hAnsi="Times New Roman"/>
          <w:b/>
          <w:i w:val="false"/>
          <w:color w:val="000000"/>
          <w:sz w:val="22"/>
        </w:rPr>
        <w:t>15.15</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MULTIPLE OFFENDER AND WILDLIFE VIOLATOR COMPACT</w:t>
      </w:r>
    </w:p>
    <w:p>
      <w:pPr>
        <w:spacing w:before="0" w:after="0"/>
        <w:ind w:left="120"/>
        <w:jc w:val="both"/>
      </w:pPr>
      <w:r>
        <w:rPr>
          <w:rFonts w:ascii="Times New Roman" w:hAnsi="Times New Roman"/>
          <w:b/>
          <w:i w:val="false"/>
          <w:color w:val="000000"/>
          <w:sz w:val="22"/>
        </w:rPr>
        <w:t>571—15.16</w:t>
      </w:r>
      <w:r>
        <w:rPr>
          <w:rFonts w:ascii="Times New Roman" w:hAnsi="Times New Roman"/>
          <w:b/>
          <w:i w:val="false"/>
          <w:color w:val="000000"/>
          <w:sz w:val="22"/>
        </w:rPr>
        <w:t xml:space="preserve">(481A,481B,482,483A,484A,484B) </w:t>
      </w:r>
      <w:r>
        <w:rPr>
          <w:rFonts w:ascii="Times New Roman" w:hAnsi="Times New Roman"/>
          <w:b/>
          <w:i w:val="false"/>
          <w:color w:val="000000"/>
          <w:sz w:val="22"/>
        </w:rPr>
        <w:t xml:space="preserve">Multiple offenders—revocation and suspension of hunting, fishing, and trapping privileges from those persons who are determined to be multiple offenders.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 of this rule,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Natural Resources, 6200 Park Avenue, Suite 200, Des Moines, Iowa 50312.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“Multiple offender”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who has equaled or exceeded five points for convictions in Iowa Code chapters </w:t>
      </w:r>
      <w:hyperlink r:id="rId16">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481B</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482</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484A</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484B</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716</w:t>
        </w:r>
      </w:hyperlink>
      <w:r>
        <w:rPr>
          <w:rFonts w:ascii="Times New Roman" w:hAnsi="Times New Roman"/>
          <w:b w:val="false"/>
          <w:i w:val="false"/>
          <w:color w:val="000000"/>
          <w:sz w:val="22"/>
        </w:rPr>
        <w:t xml:space="preserve"> during a consecutive three-year period as provided in subrule </w:t>
      </w:r>
      <w:hyperlink r:id="rId23">
        <w:r>
          <w:rPr>
            <w:rStyle w:val="Hyperlink"/>
            <w:rFonts w:ascii="Times New Roman" w:hAnsi="Times New Roman"/>
            <w:b w:val="false"/>
            <w:i w:val="false"/>
            <w:color w:val="000000"/>
            <w:sz w:val="22"/>
          </w:rPr>
          <w:t>15.16(3)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“Revocation”</w:t>
      </w:r>
      <w:r>
        <w:rPr>
          <w:rFonts w:ascii="Times New Roman" w:hAnsi="Times New Roman"/>
          <w:b w:val="false"/>
          <w:i w:val="false"/>
          <w:color w:val="000000"/>
          <w:sz w:val="22"/>
        </w:rPr>
        <w:t> </w:t>
      </w:r>
      <w:r>
        <w:rPr>
          <w:rFonts w:ascii="Times New Roman" w:hAnsi="Times New Roman"/>
          <w:b w:val="false"/>
          <w:i w:val="false"/>
          <w:color w:val="000000"/>
          <w:sz w:val="22"/>
        </w:rPr>
        <w:t>means the taking or cancellation of an existing license or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“Suspension”</w:t>
      </w:r>
      <w:r>
        <w:rPr>
          <w:rFonts w:ascii="Times New Roman" w:hAnsi="Times New Roman"/>
          <w:b w:val="false"/>
          <w:i w:val="false"/>
          <w:color w:val="000000"/>
          <w:sz w:val="22"/>
        </w:rPr>
        <w:t> </w:t>
      </w:r>
      <w:r>
        <w:rPr>
          <w:rFonts w:ascii="Times New Roman" w:hAnsi="Times New Roman"/>
          <w:b w:val="false"/>
          <w:i w:val="false"/>
          <w:color w:val="000000"/>
          <w:sz w:val="22"/>
        </w:rPr>
        <w:t>means to bar or exclude one from applying for or acquiring licenses or privileges for future seasons.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15.16(2)</w:t>
      </w:r>
      <w:r>
        <w:rPr>
          <w:rFonts w:ascii="Times New Roman" w:hAnsi="Times New Roman"/>
          <w:b w:val="false"/>
          <w:i w:val="false"/>
          <w:color w:val="000000"/>
          <w:sz w:val="22"/>
        </w:rPr>
        <w:t> </w:t>
      </w:r>
      <w:r>
        <w:rPr>
          <w:rFonts w:ascii="Times New Roman" w:hAnsi="Times New Roman"/>
          <w:b w:val="false"/>
          <w:i/>
          <w:color w:val="000000"/>
          <w:sz w:val="22"/>
        </w:rPr>
        <w:t xml:space="preserve">Recordkeeping procedures. </w:t>
      </w:r>
      <w:r>
        <w:rPr>
          <w:rFonts w:ascii="Times New Roman" w:hAnsi="Times New Roman"/>
          <w:b w:val="false"/>
          <w:i w:val="false"/>
          <w:color w:val="000000"/>
          <w:sz w:val="22"/>
        </w:rPr>
        <w:t xml:space="preserve">For the purpose of administering this rule, it shall be the responsibility of the clerk of district court for each county to deliver, on a monthly basis, disposition reports of each charge filed under Iowa Code chapters </w:t>
      </w:r>
      <w:hyperlink r:id="rId24">
        <w:r>
          <w:rPr>
            <w:rStyle w:val="Hyperlink"/>
            <w:rFonts w:ascii="Times New Roman" w:hAnsi="Times New Roman"/>
            <w:b w:val="false"/>
            <w:i w:val="false"/>
            <w:color w:val="000000"/>
            <w:sz w:val="22"/>
          </w:rPr>
          <w:t>456A</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481B</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482</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484A</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484B</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716</w:t>
        </w:r>
      </w:hyperlink>
      <w:r>
        <w:rPr>
          <w:rFonts w:ascii="Times New Roman" w:hAnsi="Times New Roman"/>
          <w:b w:val="false"/>
          <w:i w:val="false"/>
          <w:color w:val="000000"/>
          <w:sz w:val="22"/>
        </w:rPr>
        <w:t xml:space="preserve"> to the department. Dispositions and orders of the court of all cases filed on the chapters listed in this subrule shall be sent to the department regardless of the jurisdiction or the department of the initiating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License suspensions. </w:t>
      </w:r>
      <w:r>
        <w:rPr>
          <w:rFonts w:ascii="Times New Roman" w:hAnsi="Times New Roman"/>
          <w:b w:val="false"/>
          <w:i w:val="false"/>
          <w:color w:val="000000"/>
          <w:sz w:val="22"/>
        </w:rPr>
        <w:t xml:space="preserve">In the event of a license suspension pursuant to Iowa Code section </w:t>
      </w:r>
      <w:hyperlink r:id="rId32">
        <w:r>
          <w:rPr>
            <w:rStyle w:val="Hyperlink"/>
            <w:rFonts w:ascii="Times New Roman" w:hAnsi="Times New Roman"/>
            <w:b w:val="false"/>
            <w:i w:val="false"/>
            <w:color w:val="000000"/>
            <w:sz w:val="22"/>
          </w:rPr>
          <w:t>481A.133</w:t>
        </w:r>
      </w:hyperlink>
      <w:r>
        <w:rPr>
          <w:rFonts w:ascii="Times New Roman" w:hAnsi="Times New Roman"/>
          <w:b w:val="false"/>
          <w:i w:val="false"/>
          <w:color w:val="000000"/>
          <w:sz w:val="22"/>
        </w:rPr>
        <w:t>, the clerk of court shall immediately notify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Entering information. </w:t>
      </w:r>
      <w:r>
        <w:rPr>
          <w:rFonts w:ascii="Times New Roman" w:hAnsi="Times New Roman"/>
          <w:b w:val="false"/>
          <w:i w:val="false"/>
          <w:color w:val="000000"/>
          <w:sz w:val="22"/>
        </w:rPr>
        <w:t>Upon receipt of the disposition information from the clerks of court, the department will, on a monthly basis, enter this information into a licensed system that is directly accessible to all law enforcement agencies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Disposition report information. </w:t>
      </w:r>
      <w:r>
        <w:rPr>
          <w:rFonts w:ascii="Times New Roman" w:hAnsi="Times New Roman"/>
          <w:b w:val="false"/>
          <w:i w:val="false"/>
          <w:color w:val="000000"/>
          <w:sz w:val="22"/>
        </w:rPr>
        <w:t>Information from the disposition report that will be entered into an electronic license system which includes but may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County of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of defendant,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 of defendant,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Social security or driver’s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Date and time of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Charge and Iowa Code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Officer name/C-number who filed charge,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Date of conviction.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15.16(3)</w:t>
      </w:r>
      <w:r>
        <w:rPr>
          <w:rFonts w:ascii="Times New Roman" w:hAnsi="Times New Roman"/>
          <w:b w:val="false"/>
          <w:i w:val="false"/>
          <w:color w:val="000000"/>
          <w:sz w:val="22"/>
        </w:rPr>
        <w:t> </w:t>
      </w:r>
      <w:r>
        <w:rPr>
          <w:rFonts w:ascii="Times New Roman" w:hAnsi="Times New Roman"/>
          <w:b w:val="false"/>
          <w:i/>
          <w:color w:val="000000"/>
          <w:sz w:val="22"/>
        </w:rPr>
        <w:t xml:space="preserve">Point values assigned to convictions. </w:t>
      </w:r>
      <w:r>
        <w:rPr>
          <w:rFonts w:ascii="Times New Roman" w:hAnsi="Times New Roman"/>
          <w:b w:val="false"/>
          <w:i w:val="false"/>
          <w:color w:val="000000"/>
          <w:sz w:val="22"/>
        </w:rPr>
        <w:t>Point values for convictions shall be assessed as stated in this subrule. Multiple citations and convictions of the same offense will be added as separate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Convictions of the following offenses shall have a point value of three: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Illegal sale of birds, game, fish, or bait.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More than the possession or bag limit for any species of game or fish.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Hunting, trapping, or fishing during the closed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Hunting by artificial light.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Hunting from aircraft, snowmobiles, all-terrain vehicles or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violation involving threatened or endangered species.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Any violations of Iowa Code chapter </w:t>
      </w:r>
      <w:hyperlink r:id="rId33">
        <w:r>
          <w:rPr>
            <w:rStyle w:val="Hyperlink"/>
            <w:rFonts w:ascii="Times New Roman" w:hAnsi="Times New Roman"/>
            <w:b w:val="false"/>
            <w:i w:val="false"/>
            <w:color w:val="000000"/>
            <w:sz w:val="22"/>
          </w:rPr>
          <w:t>482</w:t>
        </w:r>
      </w:hyperlink>
      <w:r>
        <w:rPr>
          <w:rFonts w:ascii="Times New Roman" w:hAnsi="Times New Roman"/>
          <w:b w:val="false"/>
          <w:i w:val="false"/>
          <w:color w:val="000000"/>
          <w:sz w:val="22"/>
        </w:rPr>
        <w:t xml:space="preserve">, except Iowa Code sections </w:t>
      </w:r>
      <w:hyperlink r:id="rId34">
        <w:r>
          <w:rPr>
            <w:rStyle w:val="Hyperlink"/>
            <w:rFonts w:ascii="Times New Roman" w:hAnsi="Times New Roman"/>
            <w:b w:val="false"/>
            <w:i w:val="false"/>
            <w:color w:val="000000"/>
            <w:sz w:val="22"/>
          </w:rPr>
          <w:t>482.6</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482.14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violation of nonresident license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No fur dealer license (resident or nonresident).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Illegal taking or possession of protected nongame species.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unlawful taking of any fish, turtle, game, or fur-bearing animal.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Illegal taking, possession, or transporting of a raptor.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Hunting, fishing, or trapping while under license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Illegal removal of fish, minnows, frogs, or other aquatic wildlife from a state fish hatchery.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Any fur dealer violations except failure to submit a timely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Any resident or nonresident making false claims to obtain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Illegal taking or possession of hen pheasant.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Applying for or acquiring a license while under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 xml:space="preserve">Taking game from the wild—see Iowa Code section </w:t>
      </w:r>
      <w:hyperlink r:id="rId36">
        <w:r>
          <w:rPr>
            <w:rStyle w:val="Hyperlink"/>
            <w:rFonts w:ascii="Times New Roman" w:hAnsi="Times New Roman"/>
            <w:b w:val="false"/>
            <w:i w:val="false"/>
            <w:color w:val="000000"/>
            <w:sz w:val="22"/>
          </w:rPr>
          <w:t>481A.61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Iowa Code sections </w:t>
      </w:r>
      <w:hyperlink r:id="rId37">
        <w:r>
          <w:rPr>
            <w:rStyle w:val="Hyperlink"/>
            <w:rFonts w:ascii="Times New Roman" w:hAnsi="Times New Roman"/>
            <w:b w:val="false"/>
            <w:i w:val="false"/>
            <w:color w:val="000000"/>
            <w:sz w:val="22"/>
          </w:rPr>
          <w:t>483A.27</w:t>
        </w:r>
      </w:hyperlink>
      <w:r>
        <w:rPr>
          <w:rFonts w:ascii="Times New Roman" w:hAnsi="Times New Roman"/>
          <w:b w:val="false"/>
          <w:i w:val="false"/>
          <w:color w:val="000000"/>
          <w:sz w:val="22"/>
        </w:rPr>
        <w:t xml:space="preserve">(7) and </w:t>
      </w:r>
      <w:hyperlink r:id="rId38">
        <w:r>
          <w:rPr>
            <w:rStyle w:val="Hyperlink"/>
            <w:rFonts w:ascii="Times New Roman" w:hAnsi="Times New Roman"/>
            <w:b w:val="false"/>
            <w:i w:val="false"/>
            <w:color w:val="000000"/>
            <w:sz w:val="22"/>
          </w:rPr>
          <w:t>483A.27A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 xml:space="preserve">Any violation of Iowa Code section </w:t>
      </w:r>
      <w:hyperlink r:id="rId39">
        <w:r>
          <w:rPr>
            <w:rStyle w:val="Hyperlink"/>
            <w:rFonts w:ascii="Times New Roman" w:hAnsi="Times New Roman"/>
            <w:b w:val="false"/>
            <w:i w:val="false"/>
            <w:color w:val="000000"/>
            <w:sz w:val="22"/>
          </w:rPr>
          <w:t>716.8</w:t>
        </w:r>
      </w:hyperlink>
      <w:r>
        <w:rPr>
          <w:rFonts w:ascii="Times New Roman" w:hAnsi="Times New Roman"/>
          <w:b w:val="false"/>
          <w:i w:val="false"/>
          <w:color w:val="000000"/>
          <w:sz w:val="22"/>
        </w:rPr>
        <w:t xml:space="preserve"> while hunting, fishing, or trapping.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Convictions of the following offenses shall have a point value of two: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Hunting, fishing, or trapping on a refuge.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Illegal possession of fur, fish, turtle, or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Chasing wildlife from or disturbing dens.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Trapping within 200 yards of an occupied building or private drive.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Possession of undersized or oversized fish.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Shooting within 200 yards of occupied building or feedlot.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 valid resident license relating to deer, turkey, or paddlefish.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Illegal importation of fur, fish, or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Failure to exhibit catch to an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Trapping or poisoning game birds, or poisoning game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Violations pertaining to private fish hatcheries and aquaculture.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Violations of the fur dealers reporting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Iowa Code section </w:t>
      </w:r>
      <w:hyperlink r:id="rId40">
        <w:r>
          <w:rPr>
            <w:rStyle w:val="Hyperlink"/>
            <w:rFonts w:ascii="Times New Roman" w:hAnsi="Times New Roman"/>
            <w:b w:val="false"/>
            <w:i w:val="false"/>
            <w:color w:val="000000"/>
            <w:sz w:val="22"/>
          </w:rPr>
          <w:t>481A.126</w:t>
        </w:r>
      </w:hyperlink>
      <w:r>
        <w:rPr>
          <w:rFonts w:ascii="Times New Roman" w:hAnsi="Times New Roman"/>
          <w:b w:val="false"/>
          <w:i w:val="false"/>
          <w:color w:val="000000"/>
          <w:sz w:val="22"/>
        </w:rPr>
        <w:t xml:space="preserve"> pertaining to taxidermy.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Loaded gun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Attempting to unlawfully take any fish, turtle, game, or fur-bearing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Attempting to take game before or after legal shooting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Wanton waste of fish, game or fur-bearing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 xml:space="preserve">Illegal discharge of a firearm pursuant to Iowa Code section </w:t>
      </w:r>
      <w:hyperlink r:id="rId41">
        <w:r>
          <w:rPr>
            <w:rStyle w:val="Hyperlink"/>
            <w:rFonts w:ascii="Times New Roman" w:hAnsi="Times New Roman"/>
            <w:b w:val="false"/>
            <w:i w:val="false"/>
            <w:color w:val="000000"/>
            <w:sz w:val="22"/>
          </w:rPr>
          <w:t>481A.54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 xml:space="preserve">Any violation of Iowa Code section </w:t>
      </w:r>
      <w:hyperlink r:id="rId42">
        <w:r>
          <w:rPr>
            <w:rStyle w:val="Hyperlink"/>
            <w:rFonts w:ascii="Times New Roman" w:hAnsi="Times New Roman"/>
            <w:b w:val="false"/>
            <w:i w:val="false"/>
            <w:color w:val="000000"/>
            <w:sz w:val="22"/>
          </w:rPr>
          <w:t>482.14</w:t>
        </w:r>
      </w:hyperlink>
      <w:r>
        <w:rPr>
          <w:rFonts w:ascii="Times New Roman" w:hAnsi="Times New Roman"/>
          <w:b w:val="false"/>
          <w:i w:val="false"/>
          <w:color w:val="000000"/>
          <w:sz w:val="22"/>
        </w:rPr>
        <w:t xml:space="preserve"> pertaining to commercial fishing.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Failure to tag deer, turkey, or paddlefish.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Applying for or obtaining more than the legal number of licenses allowed for deer or turkey.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Illegal transportation of game, fish or furbearers.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Iowa Code section </w:t>
      </w:r>
      <w:hyperlink r:id="rId43">
        <w:r>
          <w:rPr>
            <w:rStyle w:val="Hyperlink"/>
            <w:rFonts w:ascii="Times New Roman" w:hAnsi="Times New Roman"/>
            <w:b w:val="false"/>
            <w:i w:val="false"/>
            <w:color w:val="000000"/>
            <w:sz w:val="22"/>
          </w:rPr>
          <w:t>483A.27</w:t>
        </w:r>
      </w:hyperlink>
      <w:r>
        <w:rPr>
          <w:rFonts w:ascii="Times New Roman" w:hAnsi="Times New Roman"/>
          <w:b w:val="false"/>
          <w:i w:val="false"/>
          <w:color w:val="000000"/>
          <w:sz w:val="22"/>
        </w:rPr>
        <w:t xml:space="preserve">, except Iowa Code section </w:t>
      </w:r>
      <w:hyperlink r:id="rId44">
        <w:r>
          <w:rPr>
            <w:rStyle w:val="Hyperlink"/>
            <w:rFonts w:ascii="Times New Roman" w:hAnsi="Times New Roman"/>
            <w:b w:val="false"/>
            <w:i w:val="false"/>
            <w:color w:val="000000"/>
            <w:sz w:val="22"/>
          </w:rPr>
          <w:t>483A.27</w:t>
        </w:r>
      </w:hyperlink>
      <w:r>
        <w:rPr>
          <w:rFonts w:ascii="Times New Roman" w:hAnsi="Times New Roman"/>
          <w:b w:val="false"/>
          <w:i w:val="false"/>
          <w:color w:val="000000"/>
          <w:sz w:val="22"/>
        </w:rPr>
        <w:t>(7).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other convictions of provisions in Iowa Code chapters </w:t>
      </w:r>
      <w:hyperlink r:id="rId45">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481B</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482</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484A</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484B</w:t>
        </w:r>
      </w:hyperlink>
      <w:r>
        <w:rPr>
          <w:rFonts w:ascii="Times New Roman" w:hAnsi="Times New Roman"/>
          <w:b w:val="false"/>
          <w:i w:val="false"/>
          <w:color w:val="000000"/>
          <w:sz w:val="22"/>
        </w:rPr>
        <w:t xml:space="preserve"> shall have a point value of 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15.16(4)</w:t>
      </w:r>
      <w:r>
        <w:rPr>
          <w:rFonts w:ascii="Times New Roman" w:hAnsi="Times New Roman"/>
          <w:b w:val="false"/>
          <w:i w:val="false"/>
          <w:color w:val="000000"/>
          <w:sz w:val="22"/>
        </w:rPr>
        <w:t> </w:t>
      </w:r>
      <w:r>
        <w:rPr>
          <w:rFonts w:ascii="Times New Roman" w:hAnsi="Times New Roman"/>
          <w:b w:val="false"/>
          <w:i/>
          <w:color w:val="000000"/>
          <w:sz w:val="22"/>
        </w:rPr>
        <w:t xml:space="preserve">Length of suspension or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term of license suspension or revocation shall be determined by the total points accumulated during any consecutive three-year period, according to the following: 5 points through 8 points is one year, 9 points through 12 points is two years, and 13 points or over is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convicted of a violation of any provision of Iowa Code chapters </w:t>
      </w:r>
      <w:hyperlink r:id="rId51">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481B</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482</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484A</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484B</w:t>
        </w:r>
      </w:hyperlink>
      <w:r>
        <w:rPr>
          <w:rFonts w:ascii="Times New Roman" w:hAnsi="Times New Roman"/>
          <w:b w:val="false"/>
          <w:i w:val="false"/>
          <w:color w:val="000000"/>
          <w:sz w:val="22"/>
        </w:rPr>
        <w:t xml:space="preserve"> under the circumstances described in Iowa Code section </w:t>
      </w:r>
      <w:hyperlink r:id="rId57">
        <w:r>
          <w:rPr>
            <w:rStyle w:val="Hyperlink"/>
            <w:rFonts w:ascii="Times New Roman" w:hAnsi="Times New Roman"/>
            <w:b w:val="false"/>
            <w:i w:val="false"/>
            <w:color w:val="000000"/>
            <w:sz w:val="22"/>
          </w:rPr>
          <w:t>481A.135(2)</w:t>
        </w:r>
      </w:hyperlink>
      <w:r>
        <w:rPr>
          <w:rFonts w:ascii="Times New Roman" w:hAnsi="Times New Roman"/>
          <w:b w:val="false"/>
          <w:i w:val="false"/>
          <w:color w:val="000000"/>
          <w:sz w:val="22"/>
        </w:rPr>
        <w:t xml:space="preserve"> shall have an additional suspension of one year. Any person convicted of a violation of any provision of Iowa Code chapters </w:t>
      </w:r>
      <w:hyperlink r:id="rId58">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481B</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482</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484A</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484B</w:t>
        </w:r>
      </w:hyperlink>
      <w:r>
        <w:rPr>
          <w:rFonts w:ascii="Times New Roman" w:hAnsi="Times New Roman"/>
          <w:b w:val="false"/>
          <w:i w:val="false"/>
          <w:color w:val="000000"/>
          <w:sz w:val="22"/>
        </w:rPr>
        <w:t xml:space="preserve"> under the circumstances described in Iowa Code section </w:t>
      </w:r>
      <w:hyperlink r:id="rId64">
        <w:r>
          <w:rPr>
            <w:rStyle w:val="Hyperlink"/>
            <w:rFonts w:ascii="Times New Roman" w:hAnsi="Times New Roman"/>
            <w:b w:val="false"/>
            <w:i w:val="false"/>
            <w:color w:val="000000"/>
            <w:sz w:val="22"/>
          </w:rPr>
          <w:t>481A.135(3)</w:t>
        </w:r>
      </w:hyperlink>
      <w:r>
        <w:rPr>
          <w:rFonts w:ascii="Times New Roman" w:hAnsi="Times New Roman"/>
          <w:b w:val="false"/>
          <w:i w:val="false"/>
          <w:color w:val="000000"/>
          <w:sz w:val="22"/>
        </w:rPr>
        <w:t xml:space="preserve"> shall have an additional suspension of two years. Any person convicted of a violation of any provision of Iowa Code chapters </w:t>
      </w:r>
      <w:hyperlink r:id="rId65">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481B</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482</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484A</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484B</w:t>
        </w:r>
      </w:hyperlink>
      <w:r>
        <w:rPr>
          <w:rFonts w:ascii="Times New Roman" w:hAnsi="Times New Roman"/>
          <w:b w:val="false"/>
          <w:i w:val="false"/>
          <w:color w:val="000000"/>
          <w:sz w:val="22"/>
        </w:rPr>
        <w:t xml:space="preserve"> under the circumstances described in Iowa Code section </w:t>
      </w:r>
      <w:hyperlink r:id="rId71">
        <w:r>
          <w:rPr>
            <w:rStyle w:val="Hyperlink"/>
            <w:rFonts w:ascii="Times New Roman" w:hAnsi="Times New Roman"/>
            <w:b w:val="false"/>
            <w:i w:val="false"/>
            <w:color w:val="000000"/>
            <w:sz w:val="22"/>
          </w:rPr>
          <w:t>481A.135(4)</w:t>
        </w:r>
      </w:hyperlink>
      <w:r>
        <w:rPr>
          <w:rFonts w:ascii="Times New Roman" w:hAnsi="Times New Roman"/>
          <w:b w:val="false"/>
          <w:i w:val="false"/>
          <w:color w:val="000000"/>
          <w:sz w:val="22"/>
        </w:rPr>
        <w:t xml:space="preserve"> shall have an additional suspension of three years. The foregoing provisions apply whether or not a person has been found guilty of a simple misdemeanor, serious misdemeanor or aggravated misdemeanor pursuant to Iowa Code sections </w:t>
      </w:r>
      <w:hyperlink r:id="rId72">
        <w:r>
          <w:rPr>
            <w:rStyle w:val="Hyperlink"/>
            <w:rFonts w:ascii="Times New Roman" w:hAnsi="Times New Roman"/>
            <w:b w:val="false"/>
            <w:i w:val="false"/>
            <w:color w:val="000000"/>
            <w:sz w:val="22"/>
          </w:rPr>
          <w:t>481A.135(2)</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481A.135(3)</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481A.135(4)</w:t>
        </w:r>
      </w:hyperlink>
      <w:r>
        <w:rPr>
          <w:rFonts w:ascii="Times New Roman" w:hAnsi="Times New Roman"/>
          <w:b w:val="false"/>
          <w:i w:val="false"/>
          <w:color w:val="000000"/>
          <w:sz w:val="22"/>
        </w:rPr>
        <w:t>. If a magistrate suspends the privilege of a defendant to procure another license and the conviction contributes to the accumulation of a point total that requires the department to initiate a suspension, the term of suspension shall run consecutively up to a maximum of five years. After a five-year suspension, remaining time will be calculated at a concurrent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15.16(5)</w:t>
      </w:r>
      <w:r>
        <w:rPr>
          <w:rFonts w:ascii="Times New Roman" w:hAnsi="Times New Roman"/>
          <w:b w:val="false"/>
          <w:i w:val="false"/>
          <w:color w:val="000000"/>
          <w:sz w:val="22"/>
        </w:rPr>
        <w:t> </w:t>
      </w:r>
      <w:r>
        <w:rPr>
          <w:rFonts w:ascii="Times New Roman" w:hAnsi="Times New Roman"/>
          <w:b w:val="false"/>
          <w:i/>
          <w:color w:val="000000"/>
          <w:sz w:val="22"/>
        </w:rPr>
        <w:t xml:space="preserve">Points applicable toward suspension or revocation. </w:t>
      </w:r>
      <w:r>
        <w:rPr>
          <w:rFonts w:ascii="Times New Roman" w:hAnsi="Times New Roman"/>
          <w:b w:val="false"/>
          <w:i w:val="false"/>
          <w:color w:val="000000"/>
          <w:sz w:val="22"/>
        </w:rPr>
        <w:t>If a person pleads guilty or is found guilty of an offense for which points have been established by this rule but is given a suspended sentence or deferred sentence by the court as defined in Iowa Code section</w:t>
      </w:r>
      <w:hyperlink r:id="rId75">
        <w:r>
          <w:rPr>
            <w:rStyle w:val="Hyperlink"/>
            <w:rFonts w:ascii="Times New Roman" w:hAnsi="Times New Roman"/>
            <w:b w:val="false"/>
            <w:i w:val="false"/>
            <w:color w:val="000000"/>
            <w:sz w:val="22"/>
          </w:rPr>
          <w:t> 907.1</w:t>
        </w:r>
      </w:hyperlink>
      <w:r>
        <w:rPr>
          <w:rFonts w:ascii="Times New Roman" w:hAnsi="Times New Roman"/>
          <w:b w:val="false"/>
          <w:i w:val="false"/>
          <w:color w:val="000000"/>
          <w:sz w:val="22"/>
        </w:rPr>
        <w:t>, the assigned points will become part of that person’s violation record and apply toward a department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15.16(6)</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intent to suspend and revoke license. </w:t>
      </w:r>
      <w:r>
        <w:rPr>
          <w:rFonts w:ascii="Times New Roman" w:hAnsi="Times New Roman"/>
          <w:b w:val="false"/>
          <w:i w:val="false"/>
          <w:color w:val="000000"/>
          <w:sz w:val="22"/>
        </w:rPr>
        <w:t xml:space="preserve">If a person reaches a total of five or more points, the department shall provide written notice of intent to revoke and suspend hunting, fishing, or trapping licenses as provided in </w:t>
      </w:r>
      <w:hyperlink r:id="rId76">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 xml:space="preserve">. If the person requests a hearing, it shall be conducted in accordance with </w:t>
      </w:r>
      <w:hyperlink r:id="rId77">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15.16(7)</w:t>
      </w:r>
      <w:r>
        <w:rPr>
          <w:rFonts w:ascii="Times New Roman" w:hAnsi="Times New Roman"/>
          <w:b w:val="false"/>
          <w:i w:val="false"/>
          <w:color w:val="000000"/>
          <w:sz w:val="22"/>
        </w:rPr>
        <w:t> </w:t>
      </w:r>
      <w:r>
        <w:rPr>
          <w:rFonts w:ascii="Times New Roman" w:hAnsi="Times New Roman"/>
          <w:b w:val="false"/>
          <w:i/>
          <w:color w:val="000000"/>
          <w:sz w:val="22"/>
        </w:rPr>
        <w:t xml:space="preserve">Dates of suspension or revocation. </w:t>
      </w:r>
      <w:r>
        <w:rPr>
          <w:rFonts w:ascii="Times New Roman" w:hAnsi="Times New Roman"/>
          <w:b w:val="false"/>
          <w:i w:val="false"/>
          <w:color w:val="000000"/>
          <w:sz w:val="22"/>
        </w:rPr>
        <w:t xml:space="preserve">The suspension or revocation shall be effective upon failure of the person to request a hearing within 30 days of the notice described in subrule </w:t>
      </w:r>
      <w:hyperlink r:id="rId78">
        <w:r>
          <w:rPr>
            <w:rStyle w:val="Hyperlink"/>
            <w:rFonts w:ascii="Times New Roman" w:hAnsi="Times New Roman"/>
            <w:b w:val="false"/>
            <w:i w:val="false"/>
            <w:color w:val="000000"/>
            <w:sz w:val="22"/>
          </w:rPr>
          <w:t>15.16(6)</w:t>
        </w:r>
      </w:hyperlink>
      <w:r>
        <w:rPr>
          <w:rFonts w:ascii="Times New Roman" w:hAnsi="Times New Roman"/>
          <w:b w:val="false"/>
          <w:i w:val="false"/>
          <w:color w:val="000000"/>
          <w:sz w:val="22"/>
        </w:rPr>
        <w:t xml:space="preserve"> or upon issuance of an order affirming the department’s intent to suspend or revoke the license after the hearing. The person shall immediately surrender all licenses and shall not apply for or obtain new licenses for the full term of the suspension or revocation.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571—15.17</w:t>
      </w:r>
      <w:r>
        <w:rPr>
          <w:rFonts w:ascii="Times New Roman" w:hAnsi="Times New Roman"/>
          <w:b/>
          <w:i w:val="false"/>
          <w:color w:val="000000"/>
          <w:sz w:val="22"/>
        </w:rPr>
        <w:t xml:space="preserve">(456A) </w:t>
      </w:r>
      <w:r>
        <w:rPr>
          <w:rFonts w:ascii="Times New Roman" w:hAnsi="Times New Roman"/>
          <w:b/>
          <w:i w:val="false"/>
          <w:color w:val="000000"/>
          <w:sz w:val="22"/>
        </w:rPr>
        <w:t xml:space="preserve">Wildlife violator compact. </w:t>
      </w:r>
      <w:r>
        <w:rPr>
          <w:rFonts w:ascii="Times New Roman" w:hAnsi="Times New Roman"/>
          <w:b w:val="false"/>
          <w:i w:val="false"/>
          <w:color w:val="000000"/>
          <w:sz w:val="22"/>
        </w:rPr>
        <w:t>The department has entered into the wildlife violator compact (the compact) with other states for the uniform enforcement of license suspensions. The compact, a copy of which may be obtained by contacting the department’s law enforcement bureau, is adopted herein by reference. The procedures set forth in this rule shall apply to license suspensions pursuant to the wildlife violator compact.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“Compliance”</w:t>
      </w:r>
      <w:r>
        <w:rPr>
          <w:rFonts w:ascii="Times New Roman" w:hAnsi="Times New Roman"/>
          <w:b w:val="false"/>
          <w:i w:val="false"/>
          <w:color w:val="000000"/>
          <w:sz w:val="22"/>
        </w:rPr>
        <w:t> </w:t>
      </w:r>
      <w:r>
        <w:rPr>
          <w:rFonts w:ascii="Times New Roman" w:hAnsi="Times New Roman"/>
          <w:b w:val="false"/>
          <w:i w:val="false"/>
          <w:color w:val="000000"/>
          <w:sz w:val="22"/>
        </w:rPr>
        <w:t>with respect to a citation means the act of answering a citation through an appearance in a court or through the payment of all fines, costs, and surcharges,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“Issuing state”</w:t>
      </w:r>
      <w:r>
        <w:rPr>
          <w:rFonts w:ascii="Times New Roman" w:hAnsi="Times New Roman"/>
          <w:b w:val="false"/>
          <w:i w:val="false"/>
          <w:color w:val="000000"/>
          <w:sz w:val="22"/>
        </w:rPr>
        <w:t> </w:t>
      </w:r>
      <w:r>
        <w:rPr>
          <w:rFonts w:ascii="Times New Roman" w:hAnsi="Times New Roman"/>
          <w:b w:val="false"/>
          <w:i w:val="false"/>
          <w:color w:val="000000"/>
          <w:sz w:val="22"/>
        </w:rPr>
        <w:t>means a participating state that issues a fish or wildlife citation to 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“Participating state”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state which enacts legislation to become a member of the wildlife violator compact. Iowa is a participating state pursuant to Iowa Code section </w:t>
      </w:r>
      <w:hyperlink r:id="rId79">
        <w:r>
          <w:rPr>
            <w:rStyle w:val="Hyperlink"/>
            <w:rFonts w:ascii="Times New Roman" w:hAnsi="Times New Roman"/>
            <w:b w:val="false"/>
            <w:i w:val="false"/>
            <w:color w:val="000000"/>
            <w:sz w:val="22"/>
          </w:rPr>
          <w:t>456A.24</w:t>
        </w:r>
      </w:hyperlink>
      <w:r>
        <w:rPr>
          <w:rFonts w:ascii="Times New Roman" w:hAnsi="Times New Roman"/>
          <w:b w:val="false"/>
          <w:i w:val="false"/>
          <w:color w:val="000000"/>
          <w:sz w:val="22"/>
        </w:rPr>
        <w:t>(14).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15.17(2)</w:t>
      </w:r>
      <w:r>
        <w:rPr>
          <w:rFonts w:ascii="Times New Roman" w:hAnsi="Times New Roman"/>
          <w:b w:val="false"/>
          <w:i w:val="false"/>
          <w:color w:val="000000"/>
          <w:sz w:val="22"/>
        </w:rPr>
        <w:t> </w:t>
      </w:r>
      <w:r>
        <w:rPr>
          <w:rFonts w:ascii="Times New Roman" w:hAnsi="Times New Roman"/>
          <w:b w:val="false"/>
          <w:i/>
          <w:color w:val="000000"/>
          <w:sz w:val="22"/>
        </w:rPr>
        <w:t xml:space="preserve">Suspension of licenses for noncompliance. </w:t>
      </w:r>
      <w:r>
        <w:rPr>
          <w:rFonts w:ascii="Times New Roman" w:hAnsi="Times New Roman"/>
          <w:b w:val="false"/>
          <w:i w:val="false"/>
          <w:color w:val="000000"/>
          <w:sz w:val="22"/>
        </w:rPr>
        <w:t>Upon the receipt of a valid notice of failure to comply, as defined in the compact, the department shall issue a notice of suspension to the Iowa resident. The notice of suspension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Indicate that all department-issued hunting (including furbearer) or fishing licenses shall be suspended, effective 30 days from the receipt of the notice, unless the department receives proof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violator of the facts behind the suspension with special emphasis on the procedures to be followed in resolving the matter with the court in the issuing state. Accurate information in regard to the court (name, address, telephone number) must be provided in the notice of suspension.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Notify the license holder of the right to appeal the notice of suspension within 30 days of receipt. Said appeal shall be conducted pursuant to </w:t>
      </w:r>
      <w:hyperlink r:id="rId80">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 xml:space="preserve"> but shall be limited to the issues of whether the person so notified has a pending charge in the issuing state, whether the person has previously received notice of the violation from the issuing state, and whether the pending charge is subject to a license suspension for failure to comply pursuant to the terms of the compact.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Notify the license holder that, prior to the effective date of suspension, a person may avoid suspension through an appearance in the court with jurisdiction over the underlying violations or through the payment of all fines, costs, and surcharges associated with the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Indicate that, once a suspension has become effective, the suspension may only be lifted upon the final resolution of the underlying violations.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15.17(3)</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licenses. </w:t>
      </w:r>
      <w:r>
        <w:rPr>
          <w:rFonts w:ascii="Times New Roman" w:hAnsi="Times New Roman"/>
          <w:b w:val="false"/>
          <w:i w:val="false"/>
          <w:color w:val="000000"/>
          <w:sz w:val="22"/>
        </w:rPr>
        <w:t>Any license suspended pursuant to this rule may be reinstated upon the receipt of an acknowledgement of compliance from the issuing state, a copy of a court judgment, or a certificate from the court with jurisdiction over the underlying violations and the payment of applicable Iowa license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15.17(4)</w:t>
      </w:r>
      <w:r>
        <w:rPr>
          <w:rFonts w:ascii="Times New Roman" w:hAnsi="Times New Roman"/>
          <w:b w:val="false"/>
          <w:i w:val="false"/>
          <w:color w:val="000000"/>
          <w:sz w:val="22"/>
        </w:rPr>
        <w:t> </w:t>
      </w:r>
      <w:r>
        <w:rPr>
          <w:rFonts w:ascii="Times New Roman" w:hAnsi="Times New Roman"/>
          <w:b w:val="false"/>
          <w:i/>
          <w:color w:val="000000"/>
          <w:sz w:val="22"/>
        </w:rPr>
        <w:t xml:space="preserve">Issuance of notice of failure to comply. </w:t>
      </w:r>
      <w:r>
        <w:rPr>
          <w:rFonts w:ascii="Times New Roman" w:hAnsi="Times New Roman"/>
          <w:b w:val="false"/>
          <w:i w:val="false"/>
          <w:color w:val="000000"/>
          <w:sz w:val="22"/>
        </w:rPr>
        <w:t>When a nonresident is issued a citation by the state of Iowa for violations of any provisions under the jurisdiction of the natural resource commission which is covered by the suspension procedures of the compact and fails to timely resolve said citation by payment of applicable fines or by properly contesting the citation through the courts, the department shall issue a notice of failure to comply.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of failure to comply shall be delivered to the violator by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of failure to comply shall provide the violator with 14 days to comply with the terms of the citation. The violator may avoid the imposition of the suspension by answering a citation through an appearance in a court or through the payment of all fines, costs, and surcharges,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violator fails to achieve compliance, as defined in this rule, within 14 days of receipt of the notice of failure to comply, the department shall forward a copy of the notice of failure to comply to the home state of the violator.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15.17(5)</w:t>
      </w:r>
      <w:r>
        <w:rPr>
          <w:rFonts w:ascii="Times New Roman" w:hAnsi="Times New Roman"/>
          <w:b w:val="false"/>
          <w:i w:val="false"/>
          <w:color w:val="000000"/>
          <w:sz w:val="22"/>
        </w:rPr>
        <w:t> </w:t>
      </w:r>
      <w:r>
        <w:rPr>
          <w:rFonts w:ascii="Times New Roman" w:hAnsi="Times New Roman"/>
          <w:b w:val="false"/>
          <w:i/>
          <w:color w:val="000000"/>
          <w:sz w:val="22"/>
        </w:rPr>
        <w:t xml:space="preserve">Issuance of acknowledgement of compliance. </w:t>
      </w:r>
      <w:r>
        <w:rPr>
          <w:rFonts w:ascii="Times New Roman" w:hAnsi="Times New Roman"/>
          <w:b w:val="false"/>
          <w:i w:val="false"/>
          <w:color w:val="000000"/>
          <w:sz w:val="22"/>
        </w:rPr>
        <w:t>When a person who has previously been issued a notice of failure to comply achieves compliance, as defined in this rule, the department shall issue an acknowledgement of compliance to the person who was issued the notice of failure to comply.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15.17(6)</w:t>
      </w:r>
      <w:r>
        <w:rPr>
          <w:rFonts w:ascii="Times New Roman" w:hAnsi="Times New Roman"/>
          <w:b w:val="false"/>
          <w:i w:val="false"/>
          <w:color w:val="000000"/>
          <w:sz w:val="22"/>
        </w:rPr>
        <w:t> </w:t>
      </w:r>
      <w:r>
        <w:rPr>
          <w:rFonts w:ascii="Times New Roman" w:hAnsi="Times New Roman"/>
          <w:b w:val="false"/>
          <w:i/>
          <w:color w:val="000000"/>
          <w:sz w:val="22"/>
        </w:rPr>
        <w:t xml:space="preserve">Reciprocal recognition of suspensions. </w:t>
      </w:r>
      <w:r>
        <w:rPr>
          <w:rFonts w:ascii="Times New Roman" w:hAnsi="Times New Roman"/>
          <w:b w:val="false"/>
          <w:i w:val="false"/>
          <w:color w:val="000000"/>
          <w:sz w:val="22"/>
        </w:rPr>
        <w:t>Upon receipt of notification from a state that is a member of the wildlife violator compact that the state has suspended or revoked any person’s hunting or fishing license privileges,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the person’s identifying information into the records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Deny all applications for licenses to the person for the term of the suspension or until the department is notified by the suspending state that the suspension has been lifted.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571—15.18</w:t>
      </w:r>
      <w:r>
        <w:rPr>
          <w:rFonts w:ascii="Times New Roman" w:hAnsi="Times New Roman"/>
          <w:b w:val="false"/>
          <w:i w:val="false"/>
          <w:color w:val="000000"/>
          <w:sz w:val="22"/>
        </w:rPr>
        <w:t xml:space="preserve"> to </w:t>
      </w:r>
      <w:r>
        <w:rPr>
          <w:rFonts w:ascii="Times New Roman" w:hAnsi="Times New Roman"/>
          <w:b/>
          <w:i w:val="false"/>
          <w:color w:val="000000"/>
          <w:sz w:val="22"/>
        </w:rPr>
        <w:t>15.20</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SPECIAL LICENSES</w:t>
      </w:r>
    </w:p>
    <w:p>
      <w:pPr>
        <w:spacing w:before="0" w:after="0"/>
        <w:ind w:left="120"/>
        <w:jc w:val="both"/>
      </w:pPr>
      <w:r>
        <w:rPr>
          <w:rFonts w:ascii="Times New Roman" w:hAnsi="Times New Roman"/>
          <w:b/>
          <w:i w:val="false"/>
          <w:color w:val="000000"/>
          <w:sz w:val="22"/>
        </w:rPr>
        <w:t>571—15.21</w:t>
      </w:r>
      <w:r>
        <w:rPr>
          <w:rFonts w:ascii="Times New Roman" w:hAnsi="Times New Roman"/>
          <w:b/>
          <w:i w:val="false"/>
          <w:color w:val="000000"/>
          <w:sz w:val="22"/>
        </w:rPr>
        <w:t xml:space="preserve">(483A) </w:t>
      </w:r>
      <w:r>
        <w:rPr>
          <w:rFonts w:ascii="Times New Roman" w:hAnsi="Times New Roman"/>
          <w:b/>
          <w:i w:val="false"/>
          <w:color w:val="000000"/>
          <w:sz w:val="22"/>
        </w:rPr>
        <w:t xml:space="preserve">Fishing license exemption for patients of substance abuse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 xml:space="preserve">For the purpose of this rule, the definition of “substance abuse facility” is identical to the definition of “facility” in Iowa Code section </w:t>
      </w:r>
      <w:hyperlink r:id="rId81">
        <w:r>
          <w:rPr>
            <w:rStyle w:val="Hyperlink"/>
            <w:rFonts w:ascii="Times New Roman" w:hAnsi="Times New Roman"/>
            <w:b w:val="false"/>
            <w:i w:val="false"/>
            <w:color w:val="000000"/>
            <w:sz w:val="22"/>
          </w:rPr>
          <w:t>125.2</w:t>
        </w:r>
      </w:hyperlink>
      <w:r>
        <w:rPr>
          <w:rFonts w:ascii="Times New Roman" w:hAnsi="Times New Roman"/>
          <w:b w:val="false"/>
          <w:i w:val="false"/>
          <w:color w:val="000000"/>
          <w:sz w:val="22"/>
        </w:rPr>
        <w:t>(8).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15.21(2)</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Each substance abuse facility may apply to the department of natural resources for a license exempting patients from the fishing license requirement while fishing as a supervised group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shall be made on a form provided by the department and shall include the name, address and telephone number of the substance abuse facility including the name of the contact person. A general description of the type of services or care offered by the facility must be included as well as the expected number of participants in the fishing program and the water bodies to be fished.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 will be issued to qualifying substance abuse facilities and will be valid for all patients under the care of that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Patients of the substance abuse facility must be supervised by an employee of the facility while fishing without a license pursuant to this rule. An employee of the substance abuse facility must have the license in possession while supervising the fishing activity of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Notwithstanding the provisions of this rule, each employee of the substance abuse facility must possess a valid fishing license while participating in fishing.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571—15.22</w:t>
      </w:r>
      <w:r>
        <w:rPr>
          <w:rFonts w:ascii="Times New Roman" w:hAnsi="Times New Roman"/>
          <w:b/>
          <w:i w:val="false"/>
          <w:color w:val="000000"/>
          <w:sz w:val="22"/>
        </w:rPr>
        <w:t xml:space="preserve">(481A) </w:t>
      </w:r>
      <w:r>
        <w:rPr>
          <w:rFonts w:ascii="Times New Roman" w:hAnsi="Times New Roman"/>
          <w:b/>
          <w:i w:val="false"/>
          <w:color w:val="000000"/>
          <w:sz w:val="22"/>
        </w:rPr>
        <w:t xml:space="preserve">Authorization to use a crossbow for deer and turkey hunting during the bow season by handicapped individuals.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“Bow and arrow”</w:t>
      </w:r>
      <w:r>
        <w:rPr>
          <w:rFonts w:ascii="Times New Roman" w:hAnsi="Times New Roman"/>
          <w:b w:val="false"/>
          <w:i w:val="false"/>
          <w:color w:val="000000"/>
          <w:sz w:val="22"/>
        </w:rPr>
        <w:t> </w:t>
      </w:r>
      <w:r>
        <w:rPr>
          <w:rFonts w:ascii="Times New Roman" w:hAnsi="Times New Roman"/>
          <w:b w:val="false"/>
          <w:i w:val="false"/>
          <w:color w:val="000000"/>
          <w:sz w:val="22"/>
        </w:rPr>
        <w:t>means a compound, recurve, or longbow.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“Crossbow”</w:t>
      </w:r>
      <w:r>
        <w:rPr>
          <w:rFonts w:ascii="Times New Roman" w:hAnsi="Times New Roman"/>
          <w:b w:val="false"/>
          <w:i w:val="false"/>
          <w:color w:val="000000"/>
          <w:sz w:val="22"/>
        </w:rPr>
        <w:t> </w:t>
      </w:r>
      <w:r>
        <w:rPr>
          <w:rFonts w:ascii="Times New Roman" w:hAnsi="Times New Roman"/>
          <w:b w:val="false"/>
          <w:i w:val="false"/>
          <w:color w:val="000000"/>
          <w:sz w:val="22"/>
        </w:rPr>
        <w:t>means a weapon consisting of a bow mounted transversely on a stock or frame and designed to fire a bolt, arrow, or quarrel by the release of the bow string, which is controlled by a mechanical or electric trigger and a working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“Handicapped”</w:t>
      </w:r>
      <w:r>
        <w:rPr>
          <w:rFonts w:ascii="Times New Roman" w:hAnsi="Times New Roman"/>
          <w:b w:val="false"/>
          <w:i w:val="false"/>
          <w:color w:val="000000"/>
          <w:sz w:val="22"/>
        </w:rPr>
        <w:t> </w:t>
      </w:r>
      <w:r>
        <w:rPr>
          <w:rFonts w:ascii="Times New Roman" w:hAnsi="Times New Roman"/>
          <w:b w:val="false"/>
          <w:i w:val="false"/>
          <w:color w:val="000000"/>
          <w:sz w:val="22"/>
        </w:rPr>
        <w:t>means a person possessing a physical impairment of the upper extremities that makes a person physically incapable of shooting a bow and arrow. This includes difficulty in lifting and reaching with arms as well as difficulty in handling and fingering.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crossbow permit. </w:t>
      </w:r>
      <w:r>
        <w:rPr>
          <w:rFonts w:ascii="Times New Roman" w:hAnsi="Times New Roman"/>
          <w:b w:val="false"/>
          <w:i w:val="false"/>
          <w:color w:val="000000"/>
          <w:sz w:val="22"/>
        </w:rPr>
        <w:t>An individual requesting use of a crossbow for hunting deer or turkey must submit an application for a crossbow permit on forms provided by the department. The application must include a statement signed by the applicant’s physician declaring that the individual is not physically capable of shooting a bow and arrow. The physician shall be a licensed physician, osteopathic physician, physician assistant, or advanced registered nurse practitioner. A first-time applicant must submit the crossbow permit application no later than ten days before the last day of the license application period for the season the person intends to hunt.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15.22(3)</w:t>
      </w:r>
      <w:r>
        <w:rPr>
          <w:rFonts w:ascii="Times New Roman" w:hAnsi="Times New Roman"/>
          <w:b w:val="false"/>
          <w:i w:val="false"/>
          <w:color w:val="000000"/>
          <w:sz w:val="22"/>
        </w:rPr>
        <w:t> </w:t>
      </w:r>
      <w:r>
        <w:rPr>
          <w:rFonts w:ascii="Times New Roman" w:hAnsi="Times New Roman"/>
          <w:b w:val="false"/>
          <w:i/>
          <w:color w:val="000000"/>
          <w:sz w:val="22"/>
        </w:rPr>
        <w:t xml:space="preserve">Crossbow permit—issuance and use. </w:t>
      </w:r>
      <w:r>
        <w:rPr>
          <w:rFonts w:ascii="Times New Roman" w:hAnsi="Times New Roman"/>
          <w:b w:val="false"/>
          <w:i w:val="false"/>
          <w:color w:val="000000"/>
          <w:sz w:val="22"/>
        </w:rPr>
        <w:t>Approved applicants will be issued a permit authorizing the individual to hunt deer and turkey with a crossbow. The crossbow permit must be carried with the license and on the person while hunting deer and turkey and must be exhibited to a conservation officer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15.22(4)</w:t>
      </w:r>
      <w:r>
        <w:rPr>
          <w:rFonts w:ascii="Times New Roman" w:hAnsi="Times New Roman"/>
          <w:b w:val="false"/>
          <w:i w:val="false"/>
          <w:color w:val="000000"/>
          <w:sz w:val="22"/>
        </w:rPr>
        <w:t> </w:t>
      </w:r>
      <w:r>
        <w:rPr>
          <w:rFonts w:ascii="Times New Roman" w:hAnsi="Times New Roman"/>
          <w:b w:val="false"/>
          <w:i/>
          <w:color w:val="000000"/>
          <w:sz w:val="22"/>
        </w:rPr>
        <w:t xml:space="preserve">Validity and forfeiture of permit. </w:t>
      </w:r>
      <w:r>
        <w:rPr>
          <w:rFonts w:ascii="Times New Roman" w:hAnsi="Times New Roman"/>
          <w:b w:val="false"/>
          <w:i w:val="false"/>
          <w:color w:val="000000"/>
          <w:sz w:val="22"/>
        </w:rPr>
        <w:t>A permit authorizing the use of a crossbow for hunting deer and turkey will be valid for as long as the person is incapable of shooting a bow and arrow. If a conservation officer has probable cause to believe the person’s handicapped status has improved, making it possible for the person to shoot a bow and arrow, the department may, upon the officer’s request, require the person to obtain in writing a current physician’s statement. The physician shall be a licensed physician, osteopathic physician, physician assistant, or advanced registered nurse practitioner.</w:t>
      </w:r>
    </w:p>
    <w:p>
      <w:pPr>
        <w:spacing w:before="0" w:after="0"/>
        <w:ind w:left="120"/>
        <w:jc w:val="both"/>
      </w:pPr>
      <w:r>
        <w:rPr>
          <w:rFonts w:ascii="Times New Roman" w:hAnsi="Times New Roman"/>
          <w:b w:val="false"/>
          <w:i w:val="false"/>
          <w:color w:val="000000"/>
          <w:sz w:val="22"/>
        </w:rPr>
        <w:t xml:space="preserve">If the person is unable to obtain a current physician’s statement confirming that the person is incapable of shooting a bow and arrow, the department may initiate action to revoke the permit pursuant to </w:t>
      </w:r>
      <w:hyperlink r:id="rId82">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15.22(5)</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r>
        <w:rPr>
          <w:rFonts w:ascii="Times New Roman" w:hAnsi="Times New Roman"/>
          <w:b w:val="false"/>
          <w:i w:val="false"/>
          <w:color w:val="000000"/>
          <w:sz w:val="22"/>
        </w:rPr>
        <w:t>Crossbows equipped with pistol grips and designed to be fired with one hand are illegal for taking or attempting to take deer or turkey. All projectiles used in conjunction with a crossbow for deer hunting must be equipped with a broadhead.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571—15.23</w:t>
      </w:r>
      <w:r>
        <w:rPr>
          <w:rFonts w:ascii="Times New Roman" w:hAnsi="Times New Roman"/>
          <w:b/>
          <w:i w:val="false"/>
          <w:color w:val="000000"/>
          <w:sz w:val="22"/>
        </w:rPr>
        <w:t xml:space="preserve">(483A) </w:t>
      </w:r>
      <w:r>
        <w:rPr>
          <w:rFonts w:ascii="Times New Roman" w:hAnsi="Times New Roman"/>
          <w:b/>
          <w:i w:val="false"/>
          <w:color w:val="000000"/>
          <w:sz w:val="22"/>
        </w:rPr>
        <w:t xml:space="preserve">Free hunting and fishing license for low-income persons 65 years of age and older or low-income persons who are permanently disabled.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Pursuant to Iowa Code section </w:t>
      </w:r>
      <w:hyperlink r:id="rId83">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(15), the department of natural resources will issue a free annual combination hunting and fishing license to low-income persons who meet the age status or permanently disabled status as defined.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 status”</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achieved the sixty-fifth birthday.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“Low-income person”</w:t>
      </w:r>
      <w:r>
        <w:rPr>
          <w:rFonts w:ascii="Times New Roman" w:hAnsi="Times New Roman"/>
          <w:b w:val="false"/>
          <w:i w:val="false"/>
          <w:color w:val="000000"/>
          <w:sz w:val="22"/>
        </w:rPr>
        <w:t> </w:t>
      </w:r>
      <w:r>
        <w:rPr>
          <w:rFonts w:ascii="Times New Roman" w:hAnsi="Times New Roman"/>
          <w:b w:val="false"/>
          <w:i w:val="false"/>
          <w:color w:val="000000"/>
          <w:sz w:val="22"/>
        </w:rPr>
        <w:t>means a person who is a recipient of a program administered by the state department of human services for persons who meet low-income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“Permanently disabled”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meets the definition in Iowa Code section </w:t>
      </w:r>
      <w:hyperlink r:id="rId84">
        <w:r>
          <w:rPr>
            <w:rStyle w:val="Hyperlink"/>
            <w:rFonts w:ascii="Times New Roman" w:hAnsi="Times New Roman"/>
            <w:b w:val="false"/>
            <w:i w:val="false"/>
            <w:color w:val="000000"/>
            <w:sz w:val="22"/>
          </w:rPr>
          <w:t>483A.4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15.23(3)</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Each person shall apply to the department of natural resources for a license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shall be made on a form provided by the department and shall include the name, address, height, weight, color of eyes and hair, date of birth, and gender of the applicant. In addition, applicants shall include a copy of an official document such as a birth certificate if claiming age status, or a copy of an award letter from the Social Security Administration or private pension plan if claiming permanent disabled status. The application shall include an authorization allowing the department of health and human services to verify the applicant’s household income if proof of income is provided through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free annual hunting and fishing combination license will be issued by the department upon verification of program eligibility. The license issued under this rule will be valid until January 10 of the subsequent year. Proof of eligibility must be submitted each year in order to obtain a free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whose income falls below the federal poverty guidelines may apply for this license by providing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current Notice of Decision letter. For purposes of this rule, a “current Notice of Decision letter” shall mean a letter from the department of health and human services dated in the month the application is received or dated in the five months immediately preceding the month the application is received that describes the applicant’s monthly or annual household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person does not have a Notice of Decision letter as described in subparagraph </w:t>
      </w:r>
      <w:hyperlink r:id="rId85">
        <w:r>
          <w:rPr>
            <w:rStyle w:val="Hyperlink"/>
            <w:rFonts w:ascii="Times New Roman" w:hAnsi="Times New Roman"/>
            <w:b w:val="false"/>
            <w:i w:val="false"/>
            <w:color w:val="000000"/>
            <w:sz w:val="22"/>
          </w:rPr>
          <w:t>15.23</w:t>
        </w:r>
      </w:hyperlink>
      <w:r>
        <w:rPr>
          <w:rFonts w:ascii="Times New Roman" w:hAnsi="Times New Roman"/>
          <w:b w:val="false"/>
          <w:i w:val="false"/>
          <w:color w:val="000000"/>
          <w:sz w:val="22"/>
        </w:rPr>
        <w:t>(3)</w:t>
      </w:r>
      <w:r>
        <w:rPr>
          <w:rFonts w:ascii="Times New Roman" w:hAnsi="Times New Roman"/>
          <w:b w:val="false"/>
          <w:i/>
          <w:color w:val="000000"/>
          <w:sz w:val="22"/>
        </w:rPr>
        <w:t>“c”</w:t>
      </w:r>
      <w:r>
        <w:rPr>
          <w:rFonts w:ascii="Times New Roman" w:hAnsi="Times New Roman"/>
          <w:b w:val="false"/>
          <w:i w:val="false"/>
          <w:color w:val="000000"/>
          <w:sz w:val="22"/>
        </w:rPr>
        <w:t>(1), a document shall be provided that states that the applicant’s annual income does not exceed the federal poverty limit for the current year and lists income from all sources, including but not limited to any wages or compensation, social security, retirement income, dividends and interest, cash gifts, rents and royalties, or other cash income. In addition, the applicant shall provide documentation of such income by submitting a copy of the applicant’s most recently filed state or federal income tax return to the department. In the event an applicant does not have a tax return that was filed within the last year because the applicant’s income level does not require the filing of a tax return, the applicant shall so notify the department, shall provide to the department bank statements, social security statements or other relevant income documentation identified by the department, and shall meet with the department to verify income eligibility under this rule.</w:t>
      </w:r>
    </w:p>
    <w:p>
      <w:pPr>
        <w:spacing w:before="0" w:after="0"/>
        <w:ind w:left="120"/>
        <w:jc w:val="both"/>
      </w:pPr>
      <w:r>
        <w:rPr>
          <w:rFonts w:ascii="Times New Roman" w:hAnsi="Times New Roman"/>
          <w:b w:val="false"/>
          <w:i w:val="false"/>
          <w:color w:val="000000"/>
          <w:sz w:val="22"/>
        </w:rPr>
        <w:t>Federal poverty guidelines are published in February of each year and will be the income standard for applicants from that time until the guidelines are available in the subsequent year. The guidelines will be shown on the application and will be available upon request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15.23(4)</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Any license issued pursuant to rule </w:t>
      </w:r>
      <w:hyperlink r:id="rId86">
        <w:r>
          <w:rPr>
            <w:rStyle w:val="Hyperlink"/>
            <w:rFonts w:ascii="Times New Roman" w:hAnsi="Times New Roman"/>
            <w:b w:val="false"/>
            <w:i w:val="false"/>
            <w:color w:val="000000"/>
            <w:sz w:val="22"/>
          </w:rPr>
          <w:t>571—15.23</w:t>
        </w:r>
      </w:hyperlink>
      <w:r>
        <w:rPr>
          <w:rFonts w:ascii="Times New Roman" w:hAnsi="Times New Roman"/>
          <w:b w:val="false"/>
          <w:i w:val="false"/>
          <w:color w:val="000000"/>
          <w:sz w:val="22"/>
        </w:rPr>
        <w:t xml:space="preserve">(483A) may be revoked, in whole or in part, by written notice, if the director determines that a license holder had provided false information to obtain a license under this chapter or has violated any provision of this chapter and that continuation of the license is not in the public interest. Such revocation shall become effective upon a date specified in the notice. The notice shall state the extent of the revocation and the reasons for the action. Within 30 days following receipt of the notice of a revocation, the license holder may file a notice of appeal, requesting a contested case hearing pursuant to </w:t>
      </w:r>
      <w:hyperlink r:id="rId87">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The notice of appeal shall specify the basis for requesting that the license be reinstated.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571—15.24</w:t>
      </w:r>
      <w:r>
        <w:rPr>
          <w:rFonts w:ascii="Times New Roman" w:hAnsi="Times New Roman"/>
          <w:b/>
          <w:i w:val="false"/>
          <w:color w:val="000000"/>
          <w:sz w:val="22"/>
        </w:rPr>
        <w:t xml:space="preserve">(483A) </w:t>
      </w:r>
      <w:r>
        <w:rPr>
          <w:rFonts w:ascii="Times New Roman" w:hAnsi="Times New Roman"/>
          <w:b/>
          <w:i w:val="false"/>
          <w:color w:val="000000"/>
          <w:sz w:val="22"/>
        </w:rPr>
        <w:t xml:space="preserve">Free annual fishing license for persons who have severe physical or mental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Pursuant to Iowa Code section </w:t>
      </w:r>
      <w:hyperlink r:id="rId88">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 xml:space="preserve">(9), the department of natural resources will issue a free annual fishing license to Iowa residents 16 or more years of age who have severe mental or physical disabilities who meet the definition of “severe mental disability” or “severe physical disability” in subrule </w:t>
      </w:r>
      <w:hyperlink r:id="rId89">
        <w:r>
          <w:rPr>
            <w:rStyle w:val="Hyperlink"/>
            <w:rFonts w:ascii="Times New Roman" w:hAnsi="Times New Roman"/>
            <w:b w:val="false"/>
            <w:i w:val="false"/>
            <w:color w:val="000000"/>
            <w:sz w:val="22"/>
          </w:rPr>
          <w:t>15.24</w:t>
        </w:r>
      </w:hyperlink>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“Severe mental disability”</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severe, chronic conditions in all of the following areas which: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Are attributable to a mental impairment or combination of mental and physical impairments;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 in substantial functional limitations in three or more of the following areas of major life activities: self-care, receptive and expressive language, learning, mobility, self-direction, capacity for independent living, or economic self-sufficiency;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Reflect the person’s need for a combination and sequence of services that are individually planned and coordinated;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Requires the full-time assistance of another person to maintain a safe presence in the outdoors.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“Severe physical disability”</w:t>
      </w:r>
      <w:r>
        <w:rPr>
          <w:rFonts w:ascii="Times New Roman" w:hAnsi="Times New Roman"/>
          <w:b w:val="false"/>
          <w:i w:val="false"/>
          <w:color w:val="000000"/>
          <w:sz w:val="22"/>
        </w:rPr>
        <w:t> </w:t>
      </w:r>
      <w:r>
        <w:rPr>
          <w:rFonts w:ascii="Times New Roman" w:hAnsi="Times New Roman"/>
          <w:b w:val="false"/>
          <w:i w:val="false"/>
          <w:color w:val="000000"/>
          <w:sz w:val="22"/>
        </w:rPr>
        <w:t>means a disability that limits or impairs the person’s mobility or use of a hand or arm and that requires the full-time assistance of another person or that makes the person dependent on a wheelchair for the person’s normal life routine.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15.24(3)</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Each person shall apply to the department of natural resources for a license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shall be made on a form provided by the department and shall include the name, home address, home telephone number, height, weight, eye and hair color, date of birth, and gender of the applicant and other information as required. The license issued under this rule will be issued by the department upon verification of program eligibility and will be valid until January 10 of the subsequent year. Proof of eligibility must be submitted each year in order to obtain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shall be certified by the applicant’s attending physician with an original signature and, based upon the definition of severe mental disability or severe physical disability as provided for in this rule, declare that the applicant has a severe mental or physical disability. A medical statement from the applicant’s attending physician specifying the applicant’s type of disability shall be on 8½” x 11” stationery of the attending physician or on paper inscribed with the attending physician’s letterhead. For purposes of this rule, the attending physician must be a currently practicing licensed physician, osteopathic physician, physician assistant,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15.24(4)</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Any license issued pursuant to rule </w:t>
      </w:r>
      <w:hyperlink r:id="rId90">
        <w:r>
          <w:rPr>
            <w:rStyle w:val="Hyperlink"/>
            <w:rFonts w:ascii="Times New Roman" w:hAnsi="Times New Roman"/>
            <w:b w:val="false"/>
            <w:i w:val="false"/>
            <w:color w:val="000000"/>
            <w:sz w:val="22"/>
          </w:rPr>
          <w:t>571—15.24(483A)</w:t>
        </w:r>
      </w:hyperlink>
      <w:r>
        <w:rPr>
          <w:rFonts w:ascii="Times New Roman" w:hAnsi="Times New Roman"/>
          <w:b w:val="false"/>
          <w:i w:val="false"/>
          <w:color w:val="000000"/>
          <w:sz w:val="22"/>
        </w:rPr>
        <w:t xml:space="preserve"> may be revoked, in whole or in part, by written notice, if the director determines that a license holder had provided false information to obtain a license under this chapter or has violated any provision of this chapter and that continuation of the license is not in the public interest. Such revocation shall become effective upon a date specified in the notice. The notice shall state the extent of the revocation and the reasons for the action. Within 30 days following receipt of the notice of a revocation, the license holder may file a notice of appeal, requesting a contested case hearing pursuant to </w:t>
      </w:r>
      <w:hyperlink r:id="rId91">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The notice of appeal shall specify the basis for requesting that the license be reinstated.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571—15.25</w:t>
      </w:r>
      <w:r>
        <w:rPr>
          <w:rFonts w:ascii="Times New Roman" w:hAnsi="Times New Roman"/>
          <w:b/>
          <w:i w:val="false"/>
          <w:color w:val="000000"/>
          <w:sz w:val="22"/>
        </w:rPr>
        <w:t xml:space="preserve">(483A) </w:t>
      </w:r>
      <w:r>
        <w:rPr>
          <w:rFonts w:ascii="Times New Roman" w:hAnsi="Times New Roman"/>
          <w:b/>
          <w:i w:val="false"/>
          <w:color w:val="000000"/>
          <w:sz w:val="22"/>
        </w:rPr>
        <w:t xml:space="preserve">Transportation tags for military personnel on leave from active duty.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15.25(1)</w:t>
      </w:r>
      <w:r>
        <w:rPr>
          <w:rFonts w:ascii="Times New Roman" w:hAnsi="Times New Roman"/>
          <w:b w:val="false"/>
          <w:i w:val="false"/>
          <w:color w:val="000000"/>
          <w:sz w:val="22"/>
        </w:rPr>
        <w:t> </w:t>
      </w:r>
      <w:r>
        <w:rPr>
          <w:rFonts w:ascii="Times New Roman" w:hAnsi="Times New Roman"/>
          <w:b w:val="false"/>
          <w:i/>
          <w:color w:val="000000"/>
          <w:sz w:val="22"/>
        </w:rPr>
        <w:t xml:space="preserve">Military transportation tags for deer and turkey. </w:t>
      </w:r>
      <w:r>
        <w:rPr>
          <w:rFonts w:ascii="Times New Roman" w:hAnsi="Times New Roman"/>
          <w:b w:val="false"/>
          <w:i w:val="false"/>
          <w:color w:val="000000"/>
          <w:sz w:val="22"/>
        </w:rPr>
        <w:t>The military transportation tag shall include the following information: name, birth date, current address of military personnel; species and sex of animal taken; date of kill; and weapon used. Only conservation officers of the department shall be authorized to issue military transportation tags.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15.25(2)</w:t>
      </w:r>
      <w:r>
        <w:rPr>
          <w:rFonts w:ascii="Times New Roman" w:hAnsi="Times New Roman"/>
          <w:b w:val="false"/>
          <w:i w:val="false"/>
          <w:color w:val="000000"/>
          <w:sz w:val="22"/>
        </w:rPr>
        <w:t> </w:t>
      </w:r>
      <w:r>
        <w:rPr>
          <w:rFonts w:ascii="Times New Roman" w:hAnsi="Times New Roman"/>
          <w:b w:val="false"/>
          <w:i/>
          <w:color w:val="000000"/>
          <w:sz w:val="22"/>
        </w:rPr>
        <w:t xml:space="preserve">Annual limit for military transportation tags. </w:t>
      </w:r>
      <w:r>
        <w:rPr>
          <w:rFonts w:ascii="Times New Roman" w:hAnsi="Times New Roman"/>
          <w:b w:val="false"/>
          <w:i w:val="false"/>
          <w:color w:val="000000"/>
          <w:sz w:val="22"/>
        </w:rPr>
        <w:t>A person receiving a military transportation tag shall be limited to one military deer tag and one military turkey tag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15.25(3)</w:t>
      </w:r>
      <w:r>
        <w:rPr>
          <w:rFonts w:ascii="Times New Roman" w:hAnsi="Times New Roman"/>
          <w:b w:val="false"/>
          <w:i w:val="false"/>
          <w:color w:val="000000"/>
          <w:sz w:val="22"/>
        </w:rPr>
        <w:t> </w:t>
      </w:r>
      <w:r>
        <w:rPr>
          <w:rFonts w:ascii="Times New Roman" w:hAnsi="Times New Roman"/>
          <w:b w:val="false"/>
          <w:i/>
          <w:color w:val="000000"/>
          <w:sz w:val="22"/>
        </w:rPr>
        <w:t xml:space="preserve">Regulations apply to military personnel. </w:t>
      </w:r>
      <w:r>
        <w:rPr>
          <w:rFonts w:ascii="Times New Roman" w:hAnsi="Times New Roman"/>
          <w:b w:val="false"/>
          <w:i w:val="false"/>
          <w:color w:val="000000"/>
          <w:sz w:val="22"/>
        </w:rPr>
        <w:t xml:space="preserve">With the exception of the license requirement exemption set forth in Iowa Code section </w:t>
      </w:r>
      <w:hyperlink r:id="rId92">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(7), all hunting and fishing regulations shall apply to active duty military personnel.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571—15.26</w:t>
      </w:r>
      <w:r>
        <w:rPr>
          <w:rFonts w:ascii="Times New Roman" w:hAnsi="Times New Roman"/>
          <w:b/>
          <w:i w:val="false"/>
          <w:color w:val="000000"/>
          <w:sz w:val="22"/>
        </w:rPr>
        <w:t xml:space="preserve">(483A) </w:t>
      </w:r>
      <w:r>
        <w:rPr>
          <w:rFonts w:ascii="Times New Roman" w:hAnsi="Times New Roman"/>
          <w:b/>
          <w:i w:val="false"/>
          <w:color w:val="000000"/>
          <w:sz w:val="22"/>
        </w:rPr>
        <w:t xml:space="preserve">Special nonresident deer and turkey licenses. </w:t>
      </w:r>
      <w:r>
        <w:rPr>
          <w:rFonts w:ascii="Times New Roman" w:hAnsi="Times New Roman"/>
          <w:b w:val="false"/>
          <w:i w:val="false"/>
          <w:color w:val="000000"/>
          <w:sz w:val="22"/>
        </w:rPr>
        <w:t xml:space="preserve">The commission hereby authorizes the director to issue special nonresident deer and turkey licenses pursuant to the provisions of </w:t>
      </w:r>
      <w:hyperlink r:id="rId93">
        <w:r>
          <w:rPr>
            <w:rStyle w:val="Hyperlink"/>
            <w:rFonts w:ascii="Times New Roman" w:hAnsi="Times New Roman"/>
            <w:b w:val="false"/>
            <w:i w:val="false"/>
            <w:color w:val="000000"/>
            <w:sz w:val="22"/>
          </w:rPr>
          <w:t>561—Chapter 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571—15.27</w:t>
      </w:r>
      <w:r>
        <w:rPr>
          <w:rFonts w:ascii="Times New Roman" w:hAnsi="Times New Roman"/>
          <w:b w:val="false"/>
          <w:i w:val="false"/>
          <w:color w:val="000000"/>
          <w:sz w:val="22"/>
        </w:rPr>
        <w:t xml:space="preserve"> to </w:t>
      </w:r>
      <w:r>
        <w:rPr>
          <w:rFonts w:ascii="Times New Roman" w:hAnsi="Times New Roman"/>
          <w:b/>
          <w:i w:val="false"/>
          <w:color w:val="000000"/>
          <w:sz w:val="22"/>
        </w:rPr>
        <w:t>15.39</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EDUCATION AND CERTIFICATION PROGRAMS</w:t>
      </w:r>
    </w:p>
    <w:p>
      <w:pPr>
        <w:spacing w:before="0" w:after="0"/>
        <w:ind w:left="120"/>
        <w:jc w:val="both"/>
      </w:pPr>
      <w:r>
        <w:rPr>
          <w:rFonts w:ascii="Times New Roman" w:hAnsi="Times New Roman"/>
          <w:b/>
          <w:i w:val="false"/>
          <w:color w:val="000000"/>
          <w:sz w:val="22"/>
        </w:rPr>
        <w:t>571—15.40</w:t>
      </w:r>
      <w:r>
        <w:rPr>
          <w:rFonts w:ascii="Times New Roman" w:hAnsi="Times New Roman"/>
          <w:b/>
          <w:i w:val="false"/>
          <w:color w:val="000000"/>
          <w:sz w:val="22"/>
        </w:rPr>
        <w:t xml:space="preserve">(483A) </w:t>
      </w:r>
      <w:r>
        <w:rPr>
          <w:rFonts w:ascii="Times New Roman" w:hAnsi="Times New Roman"/>
          <w:b/>
          <w:i w:val="false"/>
          <w:color w:val="000000"/>
          <w:sz w:val="22"/>
        </w:rPr>
        <w:t xml:space="preserve">Hunter education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15.40(1)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division clarifies the term “hunting license” as used in Iowa Code section </w:t>
      </w:r>
      <w:hyperlink r:id="rId94">
        <w:r>
          <w:rPr>
            <w:rStyle w:val="Hyperlink"/>
            <w:rFonts w:ascii="Times New Roman" w:hAnsi="Times New Roman"/>
            <w:b w:val="false"/>
            <w:i w:val="false"/>
            <w:color w:val="000000"/>
            <w:sz w:val="22"/>
          </w:rPr>
          <w:t>483A.27</w:t>
        </w:r>
      </w:hyperlink>
      <w:r>
        <w:rPr>
          <w:rFonts w:ascii="Times New Roman" w:hAnsi="Times New Roman"/>
          <w:b w:val="false"/>
          <w:i w:val="false"/>
          <w:color w:val="000000"/>
          <w:sz w:val="22"/>
        </w:rPr>
        <w:t xml:space="preserve"> in relation to the hunter education course requirement, and explains the requirements for individuals who wish to demonstrate their knowledge of hunter education so as to be eligible to purchase an Iowa hunting license. For the purpose of this division, a hunting license, pursuant to Iowa Code sections </w:t>
      </w:r>
      <w:hyperlink r:id="rId95">
        <w:r>
          <w:rPr>
            <w:rStyle w:val="Hyperlink"/>
            <w:rFonts w:ascii="Times New Roman" w:hAnsi="Times New Roman"/>
            <w:b w:val="false"/>
            <w:i w:val="false"/>
            <w:color w:val="000000"/>
            <w:sz w:val="22"/>
          </w:rPr>
          <w:t>483A.1</w:t>
        </w:r>
      </w:hyperlink>
      <w:r>
        <w:rPr>
          <w:rFonts w:ascii="Times New Roman" w:hAnsi="Times New Roman"/>
          <w:b w:val="false"/>
          <w:i w:val="false"/>
          <w:color w:val="000000"/>
          <w:sz w:val="22"/>
        </w:rPr>
        <w:t xml:space="preserve"> and </w:t>
      </w:r>
      <w:hyperlink r:id="rId96">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Hunting licenses for legal residents except as otherwise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Hunting licenses for nonresidents.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Hunting preserve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Free annual hunting and fishing licenses for persons who are disabled or are 65 years of age or older and qualify for low-income status as described in Iowa Code section </w:t>
      </w:r>
      <w:hyperlink r:id="rId97">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Veterans’ hunting and fishing licenses as described in Iowa Code section </w:t>
      </w:r>
      <w:hyperlink r:id="rId98">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15.40(2)</w:t>
      </w:r>
      <w:r>
        <w:rPr>
          <w:rFonts w:ascii="Times New Roman" w:hAnsi="Times New Roman"/>
          <w:b w:val="false"/>
          <w:i w:val="false"/>
          <w:color w:val="000000"/>
          <w:sz w:val="22"/>
        </w:rPr>
        <w:t> </w:t>
      </w:r>
      <w:r>
        <w:rPr>
          <w:rFonts w:ascii="Times New Roman" w:hAnsi="Times New Roman"/>
          <w:b w:val="false"/>
          <w:i w:val="false"/>
          <w:color w:val="000000"/>
          <w:sz w:val="22"/>
        </w:rPr>
        <w:t>Deer and wild turkey license applications. Individuals are not required to exhibit a certificate showing satisfactory completion of a hunter education course when applying for a deer or wild turkey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99">
        <w:r>
          <w:rPr>
            <w:rStyle w:val="Hyperlink"/>
            <w:rFonts w:ascii="Times New Roman" w:hAnsi="Times New Roman"/>
            <w:b w:val="false"/>
            <w:i w:val="false"/>
            <w:color w:val="000000"/>
            <w:sz w:val="22"/>
          </w:rPr>
          <w:t>456A</w:t>
        </w:r>
      </w:hyperlink>
      <w:r>
        <w:rPr>
          <w:rFonts w:ascii="Times New Roman" w:hAnsi="Times New Roman"/>
          <w:b w:val="false"/>
          <w:i w:val="false"/>
          <w:color w:val="000000"/>
          <w:sz w:val="22"/>
        </w:rPr>
        <w:t xml:space="preserve">, </w:t>
      </w:r>
      <w:hyperlink r:id="rId100">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 xml:space="preserve">, and </w:t>
      </w:r>
      <w:hyperlink r:id="rId101">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10/8/80, Notice 7/23/80—published 10/29/80, effective 12/3/80]</w:t>
      </w:r>
    </w:p>
    <w:p>
      <w:pPr>
        <w:spacing w:before="0" w:after="0"/>
        <w:ind w:left="120"/>
        <w:jc w:val="center"/>
      </w:pPr>
      <w:r>
        <w:rPr>
          <w:rFonts w:ascii="Times New Roman" w:hAnsi="Times New Roman"/>
          <w:b w:val="false"/>
          <w:i w:val="false"/>
          <w:color w:val="000000"/>
          <w:sz w:val="21"/>
        </w:rPr>
        <w:t>[Filed 10/7/81, Notice 9/2/81—published 10/28/81, effective 12/2/81]</w:t>
      </w:r>
    </w:p>
    <w:p>
      <w:pPr>
        <w:spacing w:before="0" w:after="0"/>
        <w:ind w:left="120"/>
        <w:jc w:val="center"/>
      </w:pPr>
      <w:r>
        <w:rPr>
          <w:rFonts w:ascii="Times New Roman" w:hAnsi="Times New Roman"/>
          <w:b w:val="false"/>
          <w:i w:val="false"/>
          <w:color w:val="000000"/>
          <w:sz w:val="21"/>
        </w:rPr>
        <w:t>[Filed 8/9/83, Notice 6/22/83—published 8/31/83, effective 10/6/83]</w:t>
      </w:r>
    </w:p>
    <w:p>
      <w:pPr>
        <w:spacing w:before="0" w:after="0"/>
        <w:ind w:left="120"/>
        <w:jc w:val="center"/>
      </w:pPr>
      <w:r>
        <w:rPr>
          <w:rFonts w:ascii="Times New Roman" w:hAnsi="Times New Roman"/>
          <w:b w:val="false"/>
          <w:i w:val="false"/>
          <w:color w:val="000000"/>
          <w:sz w:val="21"/>
        </w:rPr>
        <w:t>[Filed 12/22/83, Notice 10/26/83—published 12/21/83, effective 1/26/84]</w:t>
      </w:r>
    </w:p>
    <w:p>
      <w:pPr>
        <w:spacing w:before="0" w:after="0"/>
        <w:ind w:left="120"/>
        <w:jc w:val="center"/>
      </w:pPr>
      <w:r>
        <w:rPr>
          <w:rFonts w:ascii="Times New Roman" w:hAnsi="Times New Roman"/>
          <w:b w:val="false"/>
          <w:i w:val="false"/>
          <w:color w:val="000000"/>
          <w:sz w:val="21"/>
        </w:rPr>
        <w:t>[Filed 8/8/85, Notice 6/5/85—published 8/28/85, effective 10/2/85]</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4/13/89, Notice 1/25/89—published 5/3/89, effective 6/7/89]</w:t>
      </w:r>
    </w:p>
    <w:p>
      <w:pPr>
        <w:spacing w:before="0" w:after="0"/>
        <w:ind w:left="120"/>
        <w:jc w:val="center"/>
      </w:pPr>
      <w:r>
        <w:rPr>
          <w:rFonts w:ascii="Times New Roman" w:hAnsi="Times New Roman"/>
          <w:b w:val="false"/>
          <w:i w:val="false"/>
          <w:color w:val="000000"/>
          <w:sz w:val="21"/>
        </w:rPr>
        <w:t>[Filed 7/19/90, Notice 5/30/90—published 8/8/90, effective 9/12/90]</w:t>
      </w:r>
    </w:p>
    <w:p>
      <w:pPr>
        <w:spacing w:before="0" w:after="0"/>
        <w:ind w:left="120"/>
        <w:jc w:val="center"/>
      </w:pPr>
      <w:r>
        <w:rPr>
          <w:rFonts w:ascii="Times New Roman" w:hAnsi="Times New Roman"/>
          <w:b w:val="false"/>
          <w:i w:val="false"/>
          <w:color w:val="000000"/>
          <w:sz w:val="21"/>
        </w:rPr>
        <w:t>[Filed emergency 11/9/90, after Notice 9/5/90—published 11/28/90, effective 11/9/90]</w:t>
      </w:r>
    </w:p>
    <w:p>
      <w:pPr>
        <w:spacing w:before="0" w:after="0"/>
        <w:ind w:left="120"/>
        <w:jc w:val="center"/>
      </w:pPr>
      <w:r>
        <w:rPr>
          <w:rFonts w:ascii="Times New Roman" w:hAnsi="Times New Roman"/>
          <w:b w:val="false"/>
          <w:i w:val="false"/>
          <w:color w:val="000000"/>
          <w:sz w:val="21"/>
        </w:rPr>
        <w:t>[Filed emergency 1/18/91—published 2/6/91, effective 1/18/91]</w:t>
      </w:r>
    </w:p>
    <w:p>
      <w:pPr>
        <w:spacing w:before="0" w:after="0"/>
        <w:ind w:left="120"/>
        <w:jc w:val="center"/>
      </w:pPr>
      <w:r>
        <w:rPr>
          <w:rFonts w:ascii="Times New Roman" w:hAnsi="Times New Roman"/>
          <w:b w:val="false"/>
          <w:i w:val="false"/>
          <w:color w:val="000000"/>
          <w:sz w:val="21"/>
        </w:rPr>
        <w:t>[Filed 2/15/91, Notice 11/28/90—published 3/6/91, effective 4/10/91]</w:t>
      </w:r>
    </w:p>
    <w:p>
      <w:pPr>
        <w:spacing w:before="0" w:after="0"/>
        <w:ind w:left="120"/>
        <w:jc w:val="center"/>
      </w:pPr>
      <w:r>
        <w:rPr>
          <w:rFonts w:ascii="Times New Roman" w:hAnsi="Times New Roman"/>
          <w:b w:val="false"/>
          <w:i w:val="false"/>
          <w:color w:val="000000"/>
          <w:sz w:val="21"/>
        </w:rPr>
        <w:t>[Filed 11/8/91, Notice 10/2/91—published 11/27/91, effective 1/2/92]</w:t>
      </w:r>
    </w:p>
    <w:p>
      <w:pPr>
        <w:spacing w:before="0" w:after="0"/>
        <w:ind w:left="120"/>
        <w:jc w:val="center"/>
      </w:pPr>
      <w:r>
        <w:rPr>
          <w:rFonts w:ascii="Times New Roman" w:hAnsi="Times New Roman"/>
          <w:b w:val="false"/>
          <w:i w:val="false"/>
          <w:color w:val="000000"/>
          <w:sz w:val="21"/>
        </w:rPr>
        <w:t>[Filed emergency 1/10/92—published 2/5/92, effective 1/10/92]</w:t>
      </w:r>
    </w:p>
    <w:p>
      <w:pPr>
        <w:spacing w:before="0" w:after="0"/>
        <w:ind w:left="120"/>
        <w:jc w:val="center"/>
      </w:pPr>
      <w:r>
        <w:rPr>
          <w:rFonts w:ascii="Times New Roman" w:hAnsi="Times New Roman"/>
          <w:b w:val="false"/>
          <w:i w:val="false"/>
          <w:color w:val="000000"/>
          <w:sz w:val="21"/>
        </w:rPr>
        <w:t>[Filed 5/8/92, Notice 3/4/92—published 5/27/92, effective 7/1/92]</w:t>
      </w:r>
    </w:p>
    <w:p>
      <w:pPr>
        <w:spacing w:before="0" w:after="0"/>
        <w:ind w:left="120"/>
        <w:jc w:val="center"/>
      </w:pPr>
      <w:r>
        <w:rPr>
          <w:rFonts w:ascii="Times New Roman" w:hAnsi="Times New Roman"/>
          <w:b w:val="false"/>
          <w:i w:val="false"/>
          <w:color w:val="000000"/>
          <w:sz w:val="21"/>
        </w:rPr>
        <w:t>[Filed 6/5/92, Notice 4/29/92—published 6/24/92, effective 7/29/92]</w:t>
      </w:r>
    </w:p>
    <w:p>
      <w:pPr>
        <w:spacing w:before="0" w:after="0"/>
        <w:ind w:left="120"/>
        <w:jc w:val="center"/>
      </w:pPr>
      <w:r>
        <w:rPr>
          <w:rFonts w:ascii="Times New Roman" w:hAnsi="Times New Roman"/>
          <w:b w:val="false"/>
          <w:i w:val="false"/>
          <w:color w:val="000000"/>
          <w:sz w:val="21"/>
        </w:rPr>
        <w:t>[Filed 8/13/93, Notice 5/26/93—published 9/1/93, effective 10/6/93]</w:t>
      </w:r>
    </w:p>
    <w:p>
      <w:pPr>
        <w:spacing w:before="0" w:after="0"/>
        <w:ind w:left="120"/>
        <w:jc w:val="center"/>
      </w:pPr>
      <w:r>
        <w:rPr>
          <w:rFonts w:ascii="Times New Roman" w:hAnsi="Times New Roman"/>
          <w:b w:val="false"/>
          <w:i w:val="false"/>
          <w:color w:val="000000"/>
          <w:sz w:val="21"/>
        </w:rPr>
        <w:t>[Filed 5/15/95, Notice 3/1/95—published 6/7/95, effective 7/12/95]</w:t>
      </w:r>
    </w:p>
    <w:p>
      <w:pPr>
        <w:spacing w:before="0" w:after="0"/>
        <w:ind w:left="120"/>
        <w:jc w:val="center"/>
      </w:pPr>
      <w:r>
        <w:rPr>
          <w:rFonts w:ascii="Times New Roman" w:hAnsi="Times New Roman"/>
          <w:b w:val="false"/>
          <w:i w:val="false"/>
          <w:color w:val="000000"/>
          <w:sz w:val="21"/>
        </w:rPr>
        <w:t>[Filed 9/8/95, Notice 7/5/95—published 9/27/95, effective 11/1/95]</w:t>
      </w:r>
    </w:p>
    <w:p>
      <w:pPr>
        <w:spacing w:before="0" w:after="0"/>
        <w:ind w:left="120"/>
        <w:jc w:val="center"/>
      </w:pPr>
      <w:r>
        <w:rPr>
          <w:rFonts w:ascii="Times New Roman" w:hAnsi="Times New Roman"/>
          <w:b w:val="false"/>
          <w:i w:val="false"/>
          <w:color w:val="000000"/>
          <w:sz w:val="21"/>
        </w:rPr>
        <w:t>[Filed 11/17/95, Notice 9/27/95—published 12/6/95, effective 1/10/96]</w:t>
      </w:r>
    </w:p>
    <w:p>
      <w:pPr>
        <w:spacing w:before="0" w:after="0"/>
        <w:ind w:left="120"/>
        <w:jc w:val="center"/>
      </w:pPr>
      <w:r>
        <w:rPr>
          <w:rFonts w:ascii="Times New Roman" w:hAnsi="Times New Roman"/>
          <w:b w:val="false"/>
          <w:i w:val="false"/>
          <w:color w:val="000000"/>
          <w:sz w:val="21"/>
        </w:rPr>
        <w:t>[Filed 8/9/96, Notice 6/5/96—published 8/28/96, effective 10/2/96]</w:t>
      </w:r>
    </w:p>
    <w:p>
      <w:pPr>
        <w:spacing w:before="0" w:after="0"/>
        <w:ind w:left="120"/>
        <w:jc w:val="center"/>
      </w:pPr>
      <w:r>
        <w:rPr>
          <w:rFonts w:ascii="Times New Roman" w:hAnsi="Times New Roman"/>
          <w:b w:val="false"/>
          <w:i w:val="false"/>
          <w:color w:val="000000"/>
          <w:sz w:val="21"/>
        </w:rPr>
        <w:t>[Filed 9/19/97, Notice 7/16/97—published 10/8/97, effective 11/12/97]</w:t>
      </w:r>
    </w:p>
    <w:p>
      <w:pPr>
        <w:spacing w:before="0" w:after="0"/>
        <w:ind w:left="120"/>
        <w:jc w:val="center"/>
      </w:pPr>
      <w:r>
        <w:rPr>
          <w:rFonts w:ascii="Times New Roman" w:hAnsi="Times New Roman"/>
          <w:b w:val="false"/>
          <w:i w:val="false"/>
          <w:color w:val="000000"/>
          <w:sz w:val="21"/>
        </w:rPr>
        <w:t>[Filed 11/14/97, Notice 9/10/97—published 12/3/97, effective 1/7/98]</w:t>
      </w:r>
    </w:p>
    <w:p>
      <w:pPr>
        <w:spacing w:before="0" w:after="0"/>
        <w:ind w:left="120"/>
        <w:jc w:val="center"/>
      </w:pPr>
      <w:r>
        <w:rPr>
          <w:rFonts w:ascii="Times New Roman" w:hAnsi="Times New Roman"/>
          <w:b w:val="false"/>
          <w:i w:val="false"/>
          <w:color w:val="000000"/>
          <w:sz w:val="21"/>
        </w:rPr>
        <w:t>[Filed 6/12/98, Notice 4/8/98—published 7/1/98, effective 8/5/98]</w:t>
      </w:r>
    </w:p>
    <w:p>
      <w:pPr>
        <w:spacing w:before="0" w:after="0"/>
        <w:ind w:left="120"/>
        <w:jc w:val="center"/>
      </w:pPr>
      <w:r>
        <w:rPr>
          <w:rFonts w:ascii="Times New Roman" w:hAnsi="Times New Roman"/>
          <w:b w:val="false"/>
          <w:i w:val="false"/>
          <w:color w:val="000000"/>
          <w:sz w:val="21"/>
        </w:rPr>
        <w:t>[Filed 11/13/98, Notice 10/7/98—published 12/2/98, effective 1/6/99]</w:t>
      </w:r>
    </w:p>
    <w:p>
      <w:pPr>
        <w:spacing w:before="0" w:after="0"/>
        <w:ind w:left="120"/>
        <w:jc w:val="center"/>
      </w:pPr>
      <w:r>
        <w:rPr>
          <w:rFonts w:ascii="Times New Roman" w:hAnsi="Times New Roman"/>
          <w:b w:val="false"/>
          <w:i w:val="false"/>
          <w:color w:val="000000"/>
          <w:sz w:val="21"/>
        </w:rPr>
        <w:t>[Filed 2/19/99, Notice 12/2/98—published 3/10/99, effective 4/14/99]</w:t>
      </w:r>
    </w:p>
    <w:p>
      <w:pPr>
        <w:spacing w:before="0" w:after="0"/>
        <w:ind w:left="120"/>
        <w:jc w:val="center"/>
      </w:pPr>
      <w:r>
        <w:rPr>
          <w:rFonts w:ascii="Times New Roman" w:hAnsi="Times New Roman"/>
          <w:b w:val="false"/>
          <w:i w:val="false"/>
          <w:color w:val="000000"/>
          <w:sz w:val="21"/>
        </w:rPr>
        <w:t>[Filed 6/9/00, Notice 4/5/00—published 6/28/00, effective 8/2/00]</w:t>
      </w:r>
    </w:p>
    <w:p>
      <w:pPr>
        <w:spacing w:before="0" w:after="0"/>
        <w:ind w:left="120"/>
        <w:jc w:val="center"/>
      </w:pPr>
      <w:r>
        <w:rPr>
          <w:rFonts w:ascii="Times New Roman" w:hAnsi="Times New Roman"/>
          <w:b w:val="false"/>
          <w:i w:val="false"/>
          <w:color w:val="000000"/>
          <w:sz w:val="21"/>
        </w:rPr>
        <w:t>[Filed emergency 7/21/00—published 8/9/00, effective 7/21/00]</w:t>
      </w:r>
    </w:p>
    <w:p>
      <w:pPr>
        <w:spacing w:before="0" w:after="0"/>
        <w:ind w:left="120"/>
        <w:jc w:val="center"/>
      </w:pPr>
      <w:r>
        <w:rPr>
          <w:rFonts w:ascii="Times New Roman" w:hAnsi="Times New Roman"/>
          <w:b w:val="false"/>
          <w:i w:val="false"/>
          <w:color w:val="000000"/>
          <w:sz w:val="21"/>
        </w:rPr>
        <w:t>[Filed 2/16/01, Notice 11/1/00—published 3/7/01, effective 4/11/01]</w:t>
      </w:r>
    </w:p>
    <w:p>
      <w:pPr>
        <w:spacing w:before="0" w:after="0"/>
        <w:ind w:left="120"/>
        <w:jc w:val="center"/>
      </w:pPr>
      <w:r>
        <w:rPr>
          <w:rFonts w:ascii="Times New Roman" w:hAnsi="Times New Roman"/>
          <w:b w:val="false"/>
          <w:i w:val="false"/>
          <w:color w:val="000000"/>
          <w:sz w:val="21"/>
        </w:rPr>
        <w:t>[Filed 6/21/01, Notice 3/7/01—published 7/11/01, effective 8/15/01]</w:t>
      </w:r>
    </w:p>
    <w:p>
      <w:pPr>
        <w:spacing w:before="0" w:after="0"/>
        <w:ind w:left="120"/>
        <w:jc w:val="center"/>
      </w:pPr>
      <w:r>
        <w:rPr>
          <w:rFonts w:ascii="Times New Roman" w:hAnsi="Times New Roman"/>
          <w:b w:val="false"/>
          <w:i w:val="false"/>
          <w:color w:val="000000"/>
          <w:sz w:val="21"/>
        </w:rPr>
        <w:t>[Filed 5/9/03, Notice 4/2/03—published 5/28/03, effective 7/2/03]</w:t>
      </w:r>
    </w:p>
    <w:p>
      <w:pPr>
        <w:spacing w:before="0" w:after="0"/>
        <w:ind w:left="120"/>
        <w:jc w:val="center"/>
      </w:pPr>
      <w:r>
        <w:rPr>
          <w:rFonts w:ascii="Times New Roman" w:hAnsi="Times New Roman"/>
          <w:b w:val="false"/>
          <w:i w:val="false"/>
          <w:color w:val="000000"/>
          <w:sz w:val="21"/>
        </w:rPr>
        <w:t>[Filed 11/19/03, Notice 9/3/03—published 12/10/03, effective 1/14/04]</w:t>
      </w:r>
    </w:p>
    <w:p>
      <w:pPr>
        <w:spacing w:before="0" w:after="0"/>
        <w:ind w:left="120"/>
        <w:jc w:val="center"/>
      </w:pPr>
      <w:r>
        <w:rPr>
          <w:rFonts w:ascii="Times New Roman" w:hAnsi="Times New Roman"/>
          <w:b w:val="false"/>
          <w:i w:val="false"/>
          <w:color w:val="000000"/>
          <w:sz w:val="21"/>
        </w:rPr>
        <w:t>[Filed emergency 11/14/07—published 12/5/07, effective 11/14/07]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7852B</w:t>
      </w:r>
      <w:r>
        <w:rPr>
          <w:rFonts w:ascii="Times New Roman" w:hAnsi="Times New Roman"/>
          <w:b w:val="false"/>
          <w:i w:val="false"/>
          <w:color w:val="000000"/>
          <w:sz w:val="21"/>
        </w:rPr>
        <w:t xml:space="preserve"> (Notice ARC 7617B, IAB 3/11/09)</w:t>
      </w:r>
      <w:r>
        <w:rPr>
          <w:rFonts w:ascii="Times New Roman" w:hAnsi="Times New Roman"/>
          <w:b w:val="false"/>
          <w:i w:val="false"/>
          <w:color w:val="000000"/>
          <w:sz w:val="21"/>
        </w:rPr>
        <w:t>, IAB 6/17/09, effective 7/22/09]</w:t>
      </w:r>
    </w:p>
    <w:p>
      <w:pPr>
        <w:spacing w:before="0" w:after="0"/>
        <w:ind w:left="120"/>
        <w:jc w:val="center"/>
      </w:pPr>
      <w:r>
        <w:rPr>
          <w:rFonts w:ascii="Times New Roman" w:hAnsi="Times New Roman"/>
          <w:b w:val="false"/>
          <w:i w:val="false"/>
          <w:color w:val="000000"/>
          <w:sz w:val="21"/>
        </w:rPr>
        <w:t>[Filed ARC 8104B</w:t>
      </w:r>
      <w:r>
        <w:rPr>
          <w:rFonts w:ascii="Times New Roman" w:hAnsi="Times New Roman"/>
          <w:b w:val="false"/>
          <w:i w:val="false"/>
          <w:color w:val="000000"/>
          <w:sz w:val="21"/>
        </w:rPr>
        <w:t xml:space="preserve"> (Notice ARC 7923B, IAB 7/1/09)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ARC 8465B</w:t>
      </w:r>
      <w:r>
        <w:rPr>
          <w:rFonts w:ascii="Times New Roman" w:hAnsi="Times New Roman"/>
          <w:b w:val="false"/>
          <w:i w:val="false"/>
          <w:color w:val="000000"/>
          <w:sz w:val="21"/>
        </w:rPr>
        <w:t xml:space="preserve"> (Notice ARC 8196B, IAB 10/7/09)</w:t>
      </w:r>
      <w:r>
        <w:rPr>
          <w:rFonts w:ascii="Times New Roman" w:hAnsi="Times New Roman"/>
          <w:b w:val="false"/>
          <w:i w:val="false"/>
          <w:color w:val="000000"/>
          <w:sz w:val="21"/>
        </w:rPr>
        <w:t>, IAB 1/13/10, effective 2/17/10]</w:t>
      </w:r>
    </w:p>
    <w:p>
      <w:pPr>
        <w:spacing w:before="0" w:after="0"/>
        <w:ind w:left="120"/>
        <w:jc w:val="center"/>
      </w:pPr>
      <w:r>
        <w:rPr>
          <w:rFonts w:ascii="Times New Roman" w:hAnsi="Times New Roman"/>
          <w:b w:val="false"/>
          <w:i w:val="false"/>
          <w:color w:val="000000"/>
          <w:sz w:val="21"/>
        </w:rPr>
        <w:t>[Filed ARC 9004B</w:t>
      </w:r>
      <w:r>
        <w:rPr>
          <w:rFonts w:ascii="Times New Roman" w:hAnsi="Times New Roman"/>
          <w:b w:val="false"/>
          <w:i w:val="false"/>
          <w:color w:val="000000"/>
          <w:sz w:val="21"/>
        </w:rPr>
        <w:t xml:space="preserve"> (Notice ARC 8729B, IAB 5/5/10)</w:t>
      </w:r>
      <w:r>
        <w:rPr>
          <w:rFonts w:ascii="Times New Roman" w:hAnsi="Times New Roman"/>
          <w:b w:val="false"/>
          <w:i w:val="false"/>
          <w:color w:val="000000"/>
          <w:sz w:val="21"/>
        </w:rPr>
        <w:t>, IAB 8/11/10, effective 9/15/10]</w:t>
      </w:r>
      <w:r>
        <w:br/>
      </w:r>
      <w:r>
        <w:rPr>
          <w:rFonts w:ascii="Times New Roman" w:hAnsi="Times New Roman"/>
          <w:b w:val="false"/>
          <w:i w:val="false"/>
          <w:color w:val="000000"/>
          <w:sz w:val="21"/>
        </w:rPr>
        <w:t>[Filed ARC 9005B</w:t>
      </w:r>
      <w:r>
        <w:rPr>
          <w:rFonts w:ascii="Times New Roman" w:hAnsi="Times New Roman"/>
          <w:b w:val="false"/>
          <w:i w:val="false"/>
          <w:color w:val="000000"/>
          <w:sz w:val="21"/>
        </w:rPr>
        <w:t xml:space="preserve"> (Notice ARC 8813B, IAB 6/2/10)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2398C</w:t>
      </w:r>
      <w:r>
        <w:rPr>
          <w:rFonts w:ascii="Times New Roman" w:hAnsi="Times New Roman"/>
          <w:b w:val="false"/>
          <w:i w:val="false"/>
          <w:color w:val="000000"/>
          <w:sz w:val="21"/>
        </w:rPr>
        <w:t xml:space="preserve"> (Notice ARC 2300C, IAB 12/9/15)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2561C</w:t>
      </w:r>
      <w:r>
        <w:rPr>
          <w:rFonts w:ascii="Times New Roman" w:hAnsi="Times New Roman"/>
          <w:b w:val="false"/>
          <w:i w:val="false"/>
          <w:color w:val="000000"/>
          <w:sz w:val="21"/>
        </w:rPr>
        <w:t xml:space="preserve"> (Notice ARC 2478C, IAB 3/30/16)</w:t>
      </w:r>
      <w:r>
        <w:rPr>
          <w:rFonts w:ascii="Times New Roman" w:hAnsi="Times New Roman"/>
          <w:b w:val="false"/>
          <w:i w:val="false"/>
          <w:color w:val="000000"/>
          <w:sz w:val="21"/>
        </w:rPr>
        <w:t>, IAB 6/8/16, effective 7/13/16]</w:t>
      </w:r>
    </w:p>
    <w:p>
      <w:pPr>
        <w:spacing w:before="0" w:after="0"/>
        <w:ind w:left="120"/>
        <w:jc w:val="center"/>
      </w:pPr>
      <w:r>
        <w:rPr>
          <w:rFonts w:ascii="Times New Roman" w:hAnsi="Times New Roman"/>
          <w:b w:val="false"/>
          <w:i w:val="false"/>
          <w:color w:val="000000"/>
          <w:sz w:val="21"/>
        </w:rPr>
        <w:t>[Filed ARC 4072C</w:t>
      </w:r>
      <w:r>
        <w:rPr>
          <w:rFonts w:ascii="Times New Roman" w:hAnsi="Times New Roman"/>
          <w:b w:val="false"/>
          <w:i w:val="false"/>
          <w:color w:val="000000"/>
          <w:sz w:val="21"/>
        </w:rPr>
        <w:t xml:space="preserve"> (Notice ARC 3924C, IAB 8/1/18)</w:t>
      </w:r>
      <w:r>
        <w:rPr>
          <w:rFonts w:ascii="Times New Roman" w:hAnsi="Times New Roman"/>
          <w:b w:val="false"/>
          <w:i w:val="false"/>
          <w:color w:val="000000"/>
          <w:sz w:val="21"/>
        </w:rPr>
        <w:t>, IAB 10/10/18, effective 12/15/18]</w:t>
      </w:r>
    </w:p>
    <w:p>
      <w:pPr>
        <w:spacing w:before="0" w:after="0"/>
        <w:ind w:left="120"/>
        <w:jc w:val="center"/>
      </w:pPr>
      <w:r>
        <w:rPr>
          <w:rFonts w:ascii="Times New Roman" w:hAnsi="Times New Roman"/>
          <w:b w:val="false"/>
          <w:i w:val="false"/>
          <w:color w:val="000000"/>
          <w:sz w:val="21"/>
        </w:rPr>
        <w:t>[Filed ARC 6064C</w:t>
      </w:r>
      <w:r>
        <w:rPr>
          <w:rFonts w:ascii="Times New Roman" w:hAnsi="Times New Roman"/>
          <w:b w:val="false"/>
          <w:i w:val="false"/>
          <w:color w:val="000000"/>
          <w:sz w:val="21"/>
        </w:rPr>
        <w:t xml:space="preserve"> (Notice ARC 5957C, IAB 10/6/21)</w:t>
      </w:r>
      <w:r>
        <w:rPr>
          <w:rFonts w:ascii="Times New Roman" w:hAnsi="Times New Roman"/>
          <w:b w:val="false"/>
          <w:i w:val="false"/>
          <w:color w:val="000000"/>
          <w:sz w:val="21"/>
        </w:rPr>
        <w:t>, IAB 12/1/21, effective 1/5/22]</w:t>
      </w:r>
    </w:p>
    <w:p>
      <w:pPr>
        <w:spacing w:before="0" w:after="0"/>
        <w:ind w:left="120"/>
        <w:jc w:val="center"/>
      </w:pPr>
      <w:r>
        <w:rPr>
          <w:rFonts w:ascii="Times New Roman" w:hAnsi="Times New Roman"/>
          <w:b w:val="false"/>
          <w:i w:val="false"/>
          <w:color w:val="000000"/>
          <w:sz w:val="21"/>
        </w:rPr>
        <w:t>[Filed ARC 6929C</w:t>
      </w:r>
      <w:r>
        <w:rPr>
          <w:rFonts w:ascii="Times New Roman" w:hAnsi="Times New Roman"/>
          <w:b w:val="false"/>
          <w:i w:val="false"/>
          <w:color w:val="000000"/>
          <w:sz w:val="21"/>
        </w:rPr>
        <w:t xml:space="preserve"> (Notice ARC 6754C, IAB 12/14/22)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7012C</w:t>
      </w:r>
      <w:r>
        <w:rPr>
          <w:rFonts w:ascii="Times New Roman" w:hAnsi="Times New Roman"/>
          <w:b w:val="false"/>
          <w:i w:val="false"/>
          <w:color w:val="000000"/>
          <w:sz w:val="21"/>
        </w:rPr>
        <w:t xml:space="preserve"> (Notice ARC 6816C, IAB 1/11/23)</w:t>
      </w:r>
      <w:r>
        <w:rPr>
          <w:rFonts w:ascii="Times New Roman" w:hAnsi="Times New Roman"/>
          <w:b w:val="false"/>
          <w:i w:val="false"/>
          <w:color w:val="000000"/>
          <w:sz w:val="21"/>
        </w:rPr>
        <w:t>, IAB 5/3/23, effective 6/7/23]</w:t>
      </w:r>
    </w:p>
    <w:p>
      <w:pPr>
        <w:spacing w:before="0" w:after="0"/>
        <w:ind w:left="120"/>
        <w:jc w:val="center"/>
      </w:pPr>
      <w:r>
        <w:rPr>
          <w:rFonts w:ascii="Times New Roman" w:hAnsi="Times New Roman"/>
          <w:b w:val="false"/>
          <w:i w:val="false"/>
          <w:color w:val="000000"/>
          <w:sz w:val="21"/>
        </w:rPr>
        <w:t>[Filed ARC 7893C</w:t>
      </w:r>
      <w:r>
        <w:rPr>
          <w:rFonts w:ascii="Times New Roman" w:hAnsi="Times New Roman"/>
          <w:b w:val="false"/>
          <w:i w:val="false"/>
          <w:color w:val="000000"/>
          <w:sz w:val="21"/>
        </w:rPr>
        <w:t xml:space="preserve"> (Notice ARC 7245C, IAB 12/27/23)</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7/23/25]</w:t>
      </w:r>
    </w:p>
    <w:p>
      <w:pPr>
        <w:spacing w:before="0" w:after="0"/>
        <w:ind w:left="120"/>
        <w:jc w:val="center"/>
      </w:pPr>
      <w:r>
        <w:rPr>
          <w:rFonts w:ascii="Times New Roman" w:hAnsi="Times New Roman"/>
          <w:b w:val="false"/>
          <w:i w:val="false"/>
          <w:color w:val="000000"/>
          <w:sz w:val="21"/>
        </w:rPr>
        <w:t>[Filed ARC 0263D</w:t>
      </w:r>
      <w:r>
        <w:rPr>
          <w:rFonts w:ascii="Times New Roman" w:hAnsi="Times New Roman"/>
          <w:b w:val="false"/>
          <w:i w:val="false"/>
          <w:color w:val="000000"/>
          <w:sz w:val="21"/>
        </w:rPr>
        <w:t xml:space="preserve"> (Notice ARC 0103D, IAB 3/4/26)</w:t>
      </w:r>
      <w:r>
        <w:rPr>
          <w:rFonts w:ascii="Times New Roman" w:hAnsi="Times New Roman"/>
          <w:b w:val="false"/>
          <w:i w:val="false"/>
          <w:color w:val="000000"/>
          <w:sz w:val="21"/>
        </w:rPr>
        <w:t>, IAB 5/13/26, effective 12/15/26]</w:t>
      </w:r>
      <w:r>
        <w:br/>
      </w:r>
      <w:r>
        <w:rPr>
          <w:rFonts w:ascii="Times New Roman" w:hAnsi="Times New Roman"/>
          <w:b w:val="false"/>
          <w:i w:val="false"/>
          <w:color w:val="000000"/>
          <w:sz w:val="21"/>
        </w:rPr>
        <w:t>[Filed ARC 0264D</w:t>
      </w:r>
      <w:r>
        <w:rPr>
          <w:rFonts w:ascii="Times New Roman" w:hAnsi="Times New Roman"/>
          <w:b w:val="false"/>
          <w:i w:val="false"/>
          <w:color w:val="000000"/>
          <w:sz w:val="21"/>
        </w:rPr>
        <w:t xml:space="preserve"> (Notice ARC 9891C, IAB 1/7/26)</w:t>
      </w:r>
      <w:r>
        <w:rPr>
          <w:rFonts w:ascii="Times New Roman" w:hAnsi="Times New Roman"/>
          <w:b w:val="false"/>
          <w:i w:val="false"/>
          <w:color w:val="000000"/>
          <w:sz w:val="21"/>
        </w:rPr>
        <w:t>, IAB 5/13/26, effective 6/17/26]</w:t>
      </w:r>
    </w:p>
    <w:sectPr>
      <w:footerReference r:id="rId10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3A.pdf" Type="http://schemas.openxmlformats.org/officeDocument/2006/relationships/hyperlink" Id="rId5"/>
    <Relationship TargetMode="External" Target="https://www.legis.iowa.gov/docs/iac/rule/571.15.5.pdf" Type="http://schemas.openxmlformats.org/officeDocument/2006/relationships/hyperlink" Id="rId6"/>
    <Relationship TargetMode="External" Target="https://www.legis.iowa.gov/docs/iac/rule/571.15.5.pdf" Type="http://schemas.openxmlformats.org/officeDocument/2006/relationships/hyperlink" Id="rId7"/>
    <Relationship TargetMode="External" Target="https://www.legis.iowa.gov/docs/iac/rule/571.15.5.pdf" Type="http://schemas.openxmlformats.org/officeDocument/2006/relationships/hyperlink" Id="rId8"/>
    <Relationship TargetMode="External" Target="https://www.legis.iowa.gov/docs/ico/chapter/483A.pdf" Type="http://schemas.openxmlformats.org/officeDocument/2006/relationships/hyperlink" Id="rId9"/>
    <Relationship TargetMode="External" Target="https://www.legis.iowa.gov/docs/iac/chapter/571.7.pdf" Type="http://schemas.openxmlformats.org/officeDocument/2006/relationships/hyperlink" Id="rId10"/>
    <Relationship TargetMode="External" Target="https://www.legis.iowa.gov/docs/iac/chapter/571.7.pdf" Type="http://schemas.openxmlformats.org/officeDocument/2006/relationships/hyperlink" Id="rId11"/>
    <Relationship TargetMode="External" Target="https://www.legis.iowa.gov/docs/iac/rule/571.15.9.pdf" Type="http://schemas.openxmlformats.org/officeDocument/2006/relationships/hyperlink" Id="rId12"/>
    <Relationship TargetMode="External" Target="https://www.legis.iowa.gov/docs/ico/chapter/483A.7.pdf" Type="http://schemas.openxmlformats.org/officeDocument/2006/relationships/hyperlink" Id="rId13"/>
    <Relationship TargetMode="External" Target="https://www.legis.iowa.gov/docs/ico/chapter/483A.8.pdf" Type="http://schemas.openxmlformats.org/officeDocument/2006/relationships/hyperlink" Id="rId14"/>
    <Relationship TargetMode="External" Target="https://www.legis.iowa.gov/docs/ico/chapter/483A.8.pdf" Type="http://schemas.openxmlformats.org/officeDocument/2006/relationships/hyperlink" Id="rId15"/>
    <Relationship TargetMode="External" Target="https://www.legis.iowa.gov/docs/ico/chapter/481A.pdf" Type="http://schemas.openxmlformats.org/officeDocument/2006/relationships/hyperlink" Id="rId16"/>
    <Relationship TargetMode="External" Target="https://www.legis.iowa.gov/docs/ico/chapter/481B.pdf" Type="http://schemas.openxmlformats.org/officeDocument/2006/relationships/hyperlink" Id="rId17"/>
    <Relationship TargetMode="External" Target="https://www.legis.iowa.gov/docs/ico/chapter/482.pdf" Type="http://schemas.openxmlformats.org/officeDocument/2006/relationships/hyperlink" Id="rId18"/>
    <Relationship TargetMode="External" Target="https://www.legis.iowa.gov/docs/ico/chapter/483A.pdf" Type="http://schemas.openxmlformats.org/officeDocument/2006/relationships/hyperlink" Id="rId19"/>
    <Relationship TargetMode="External" Target="https://www.legis.iowa.gov/docs/ico/chapter/484A.pdf" Type="http://schemas.openxmlformats.org/officeDocument/2006/relationships/hyperlink" Id="rId20"/>
    <Relationship TargetMode="External" Target="https://www.legis.iowa.gov/docs/ico/chapter/484B.pdf" Type="http://schemas.openxmlformats.org/officeDocument/2006/relationships/hyperlink" Id="rId21"/>
    <Relationship TargetMode="External" Target="https://www.legis.iowa.gov/docs/ico/chapter/716.pdf" Type="http://schemas.openxmlformats.org/officeDocument/2006/relationships/hyperlink" Id="rId22"/>
    <Relationship TargetMode="External" Target="https://www.legis.iowa.gov/docs/iac/rule/571.15.16.pdf" Type="http://schemas.openxmlformats.org/officeDocument/2006/relationships/hyperlink" Id="rId23"/>
    <Relationship TargetMode="External" Target="https://www.legis.iowa.gov/docs/ico/chapter/456A.pdf" Type="http://schemas.openxmlformats.org/officeDocument/2006/relationships/hyperlink" Id="rId24"/>
    <Relationship TargetMode="External" Target="https://www.legis.iowa.gov/docs/ico/chapter/481A.pdf" Type="http://schemas.openxmlformats.org/officeDocument/2006/relationships/hyperlink" Id="rId25"/>
    <Relationship TargetMode="External" Target="https://www.legis.iowa.gov/docs/ico/chapter/481B.pdf" Type="http://schemas.openxmlformats.org/officeDocument/2006/relationships/hyperlink" Id="rId26"/>
    <Relationship TargetMode="External" Target="https://www.legis.iowa.gov/docs/ico/chapter/482.pdf" Type="http://schemas.openxmlformats.org/officeDocument/2006/relationships/hyperlink" Id="rId27"/>
    <Relationship TargetMode="External" Target="https://www.legis.iowa.gov/docs/ico/chapter/483A.pdf" Type="http://schemas.openxmlformats.org/officeDocument/2006/relationships/hyperlink" Id="rId28"/>
    <Relationship TargetMode="External" Target="https://www.legis.iowa.gov/docs/ico/chapter/484A.pdf" Type="http://schemas.openxmlformats.org/officeDocument/2006/relationships/hyperlink" Id="rId29"/>
    <Relationship TargetMode="External" Target="https://www.legis.iowa.gov/docs/ico/chapter/484B.pdf" Type="http://schemas.openxmlformats.org/officeDocument/2006/relationships/hyperlink" Id="rId30"/>
    <Relationship TargetMode="External" Target="https://www.legis.iowa.gov/docs/ico/chapter/716.pdf" Type="http://schemas.openxmlformats.org/officeDocument/2006/relationships/hyperlink" Id="rId31"/>
    <Relationship TargetMode="External" Target="https://www.legis.iowa.gov/docs/ico/chapter/481A.133.pdf" Type="http://schemas.openxmlformats.org/officeDocument/2006/relationships/hyperlink" Id="rId32"/>
    <Relationship TargetMode="External" Target="https://www.legis.iowa.gov/docs/ico/chapter/482.pdf" Type="http://schemas.openxmlformats.org/officeDocument/2006/relationships/hyperlink" Id="rId33"/>
    <Relationship TargetMode="External" Target="https://www.legis.iowa.gov/docs/ico/chapter/482.6.pdf" Type="http://schemas.openxmlformats.org/officeDocument/2006/relationships/hyperlink" Id="rId34"/>
    <Relationship TargetMode="External" Target="https://www.legis.iowa.gov/docs/ico/chapter/482.14.pdf" Type="http://schemas.openxmlformats.org/officeDocument/2006/relationships/hyperlink" Id="rId35"/>
    <Relationship TargetMode="External" Target="https://www.legis.iowa.gov/docs/ico/chapter/481A.61.pdf" Type="http://schemas.openxmlformats.org/officeDocument/2006/relationships/hyperlink" Id="rId36"/>
    <Relationship TargetMode="External" Target="https://www.legis.iowa.gov/docs/ico/chapter/483A.27.pdf" Type="http://schemas.openxmlformats.org/officeDocument/2006/relationships/hyperlink" Id="rId37"/>
    <Relationship TargetMode="External" Target="https://www.legis.iowa.gov/docs/ico/chapter/483A.27A.pdf" Type="http://schemas.openxmlformats.org/officeDocument/2006/relationships/hyperlink" Id="rId38"/>
    <Relationship TargetMode="External" Target="https://www.legis.iowa.gov/docs/ico/chapter/716.8.pdf" Type="http://schemas.openxmlformats.org/officeDocument/2006/relationships/hyperlink" Id="rId39"/>
    <Relationship TargetMode="External" Target="https://www.legis.iowa.gov/docs/ico/chapter/481A.126.pdf" Type="http://schemas.openxmlformats.org/officeDocument/2006/relationships/hyperlink" Id="rId40"/>
    <Relationship TargetMode="External" Target="https://www.legis.iowa.gov/docs/ico/chapter/481A.54.pdf" Type="http://schemas.openxmlformats.org/officeDocument/2006/relationships/hyperlink" Id="rId41"/>
    <Relationship TargetMode="External" Target="https://www.legis.iowa.gov/docs/ico/chapter/482.14.pdf" Type="http://schemas.openxmlformats.org/officeDocument/2006/relationships/hyperlink" Id="rId42"/>
    <Relationship TargetMode="External" Target="https://www.legis.iowa.gov/docs/ico/chapter/483A.27.pdf" Type="http://schemas.openxmlformats.org/officeDocument/2006/relationships/hyperlink" Id="rId43"/>
    <Relationship TargetMode="External" Target="https://www.legis.iowa.gov/docs/ico/chapter/483A.27.pdf" Type="http://schemas.openxmlformats.org/officeDocument/2006/relationships/hyperlink" Id="rId44"/>
    <Relationship TargetMode="External" Target="https://www.legis.iowa.gov/docs/ico/chapter/481A.pdf" Type="http://schemas.openxmlformats.org/officeDocument/2006/relationships/hyperlink" Id="rId45"/>
    <Relationship TargetMode="External" Target="https://www.legis.iowa.gov/docs/ico/chapter/481B.pdf" Type="http://schemas.openxmlformats.org/officeDocument/2006/relationships/hyperlink" Id="rId46"/>
    <Relationship TargetMode="External" Target="https://www.legis.iowa.gov/docs/ico/chapter/482.pdf" Type="http://schemas.openxmlformats.org/officeDocument/2006/relationships/hyperlink" Id="rId47"/>
    <Relationship TargetMode="External" Target="https://www.legis.iowa.gov/docs/ico/chapter/483A.pdf" Type="http://schemas.openxmlformats.org/officeDocument/2006/relationships/hyperlink" Id="rId48"/>
    <Relationship TargetMode="External" Target="https://www.legis.iowa.gov/docs/ico/chapter/484A.pdf" Type="http://schemas.openxmlformats.org/officeDocument/2006/relationships/hyperlink" Id="rId49"/>
    <Relationship TargetMode="External" Target="https://www.legis.iowa.gov/docs/ico/chapter/484B.pdf" Type="http://schemas.openxmlformats.org/officeDocument/2006/relationships/hyperlink" Id="rId50"/>
    <Relationship TargetMode="External" Target="https://www.legis.iowa.gov/docs/ico/chapter/481A.pdf" Type="http://schemas.openxmlformats.org/officeDocument/2006/relationships/hyperlink" Id="rId51"/>
    <Relationship TargetMode="External" Target="https://www.legis.iowa.gov/docs/ico/chapter/481B.pdf" Type="http://schemas.openxmlformats.org/officeDocument/2006/relationships/hyperlink" Id="rId52"/>
    <Relationship TargetMode="External" Target="https://www.legis.iowa.gov/docs/ico/chapter/482.pdf" Type="http://schemas.openxmlformats.org/officeDocument/2006/relationships/hyperlink" Id="rId53"/>
    <Relationship TargetMode="External" Target="https://www.legis.iowa.gov/docs/ico/chapter/483A.pdf" Type="http://schemas.openxmlformats.org/officeDocument/2006/relationships/hyperlink" Id="rId54"/>
    <Relationship TargetMode="External" Target="https://www.legis.iowa.gov/docs/ico/chapter/484A.pdf" Type="http://schemas.openxmlformats.org/officeDocument/2006/relationships/hyperlink" Id="rId55"/>
    <Relationship TargetMode="External" Target="https://www.legis.iowa.gov/docs/ico/chapter/484B.pdf" Type="http://schemas.openxmlformats.org/officeDocument/2006/relationships/hyperlink" Id="rId56"/>
    <Relationship TargetMode="External" Target="https://www.legis.iowa.gov/docs/ico/chapter/481A.135.pdf" Type="http://schemas.openxmlformats.org/officeDocument/2006/relationships/hyperlink" Id="rId57"/>
    <Relationship TargetMode="External" Target="https://www.legis.iowa.gov/docs/ico/chapter/481A.pdf" Type="http://schemas.openxmlformats.org/officeDocument/2006/relationships/hyperlink" Id="rId58"/>
    <Relationship TargetMode="External" Target="https://www.legis.iowa.gov/docs/ico/chapter/481B.pdf" Type="http://schemas.openxmlformats.org/officeDocument/2006/relationships/hyperlink" Id="rId59"/>
    <Relationship TargetMode="External" Target="https://www.legis.iowa.gov/docs/ico/chapter/482.pdf" Type="http://schemas.openxmlformats.org/officeDocument/2006/relationships/hyperlink" Id="rId60"/>
    <Relationship TargetMode="External" Target="https://www.legis.iowa.gov/docs/ico/chapter/483A.pdf" Type="http://schemas.openxmlformats.org/officeDocument/2006/relationships/hyperlink" Id="rId61"/>
    <Relationship TargetMode="External" Target="https://www.legis.iowa.gov/docs/ico/chapter/484A.pdf" Type="http://schemas.openxmlformats.org/officeDocument/2006/relationships/hyperlink" Id="rId62"/>
    <Relationship TargetMode="External" Target="https://www.legis.iowa.gov/docs/ico/chapter/484B.pdf" Type="http://schemas.openxmlformats.org/officeDocument/2006/relationships/hyperlink" Id="rId63"/>
    <Relationship TargetMode="External" Target="https://www.legis.iowa.gov/docs/ico/chapter/481A.135.pdf" Type="http://schemas.openxmlformats.org/officeDocument/2006/relationships/hyperlink" Id="rId64"/>
    <Relationship TargetMode="External" Target="https://www.legis.iowa.gov/docs/ico/chapter/481A.pdf" Type="http://schemas.openxmlformats.org/officeDocument/2006/relationships/hyperlink" Id="rId65"/>
    <Relationship TargetMode="External" Target="https://www.legis.iowa.gov/docs/ico/chapter/481B.pdf" Type="http://schemas.openxmlformats.org/officeDocument/2006/relationships/hyperlink" Id="rId66"/>
    <Relationship TargetMode="External" Target="https://www.legis.iowa.gov/docs/ico/chapter/482.pdf" Type="http://schemas.openxmlformats.org/officeDocument/2006/relationships/hyperlink" Id="rId67"/>
    <Relationship TargetMode="External" Target="https://www.legis.iowa.gov/docs/ico/chapter/483A.pdf" Type="http://schemas.openxmlformats.org/officeDocument/2006/relationships/hyperlink" Id="rId68"/>
    <Relationship TargetMode="External" Target="https://www.legis.iowa.gov/docs/ico/chapter/484A.pdf" Type="http://schemas.openxmlformats.org/officeDocument/2006/relationships/hyperlink" Id="rId69"/>
    <Relationship TargetMode="External" Target="https://www.legis.iowa.gov/docs/ico/chapter/484B.pdf" Type="http://schemas.openxmlformats.org/officeDocument/2006/relationships/hyperlink" Id="rId70"/>
    <Relationship TargetMode="External" Target="https://www.legis.iowa.gov/docs/ico/chapter/481A.135.pdf" Type="http://schemas.openxmlformats.org/officeDocument/2006/relationships/hyperlink" Id="rId71"/>
    <Relationship TargetMode="External" Target="https://www.legis.iowa.gov/docs/ico/chapter/481A.135.pdf" Type="http://schemas.openxmlformats.org/officeDocument/2006/relationships/hyperlink" Id="rId72"/>
    <Relationship TargetMode="External" Target="https://www.legis.iowa.gov/docs/ico/chapter/481A.135.pdf" Type="http://schemas.openxmlformats.org/officeDocument/2006/relationships/hyperlink" Id="rId73"/>
    <Relationship TargetMode="External" Target="https://www.legis.iowa.gov/docs/ico/chapter/481A.135.pdf" Type="http://schemas.openxmlformats.org/officeDocument/2006/relationships/hyperlink" Id="rId74"/>
    <Relationship TargetMode="External" Target="https://www.legis.iowa.gov/docs/ico/chapter/907.1.pdf" Type="http://schemas.openxmlformats.org/officeDocument/2006/relationships/hyperlink" Id="rId75"/>
    <Relationship TargetMode="External" Target="https://www.legis.iowa.gov/docs/iac/chapter/571.7.pdf" Type="http://schemas.openxmlformats.org/officeDocument/2006/relationships/hyperlink" Id="rId76"/>
    <Relationship TargetMode="External" Target="https://www.legis.iowa.gov/docs/iac/chapter/571.7.pdf" Type="http://schemas.openxmlformats.org/officeDocument/2006/relationships/hyperlink" Id="rId77"/>
    <Relationship TargetMode="External" Target="https://www.legis.iowa.gov/docs/iac/rule/571.15.16.pdf" Type="http://schemas.openxmlformats.org/officeDocument/2006/relationships/hyperlink" Id="rId78"/>
    <Relationship TargetMode="External" Target="https://www.legis.iowa.gov/docs/ico/chapter/456A.24.pdf" Type="http://schemas.openxmlformats.org/officeDocument/2006/relationships/hyperlink" Id="rId79"/>
    <Relationship TargetMode="External" Target="https://www.legis.iowa.gov/docs/iac/chapter/571.7.pdf" Type="http://schemas.openxmlformats.org/officeDocument/2006/relationships/hyperlink" Id="rId80"/>
    <Relationship TargetMode="External" Target="https://www.legis.iowa.gov/docs/ico/chapter/125.2.pdf" Type="http://schemas.openxmlformats.org/officeDocument/2006/relationships/hyperlink" Id="rId81"/>
    <Relationship TargetMode="External" Target="https://www.legis.iowa.gov/docs/iac/chapter/571.7.pdf" Type="http://schemas.openxmlformats.org/officeDocument/2006/relationships/hyperlink" Id="rId82"/>
    <Relationship TargetMode="External" Target="https://www.legis.iowa.gov/docs/ico/chapter/483A.24.pdf" Type="http://schemas.openxmlformats.org/officeDocument/2006/relationships/hyperlink" Id="rId83"/>
    <Relationship TargetMode="External" Target="https://www.legis.iowa.gov/docs/ico/chapter/483A.4.pdf" Type="http://schemas.openxmlformats.org/officeDocument/2006/relationships/hyperlink" Id="rId84"/>
    <Relationship TargetMode="External" Target="https://www.legis.iowa.gov/docs/iac/rule/571.15.23.pdf" Type="http://schemas.openxmlformats.org/officeDocument/2006/relationships/hyperlink" Id="rId85"/>
    <Relationship TargetMode="External" Target="https://www.legis.iowa.gov/docs/iac/rule/571.15.23.pdf" Type="http://schemas.openxmlformats.org/officeDocument/2006/relationships/hyperlink" Id="rId86"/>
    <Relationship TargetMode="External" Target="https://www.legis.iowa.gov/docs/iac/chapter/561.7.pdf" Type="http://schemas.openxmlformats.org/officeDocument/2006/relationships/hyperlink" Id="rId87"/>
    <Relationship TargetMode="External" Target="https://www.legis.iowa.gov/docs/ico/chapter/483A.24.pdf" Type="http://schemas.openxmlformats.org/officeDocument/2006/relationships/hyperlink" Id="rId88"/>
    <Relationship TargetMode="External" Target="https://www.legis.iowa.gov/docs/iac/rule/571.15.24.pdf" Type="http://schemas.openxmlformats.org/officeDocument/2006/relationships/hyperlink" Id="rId89"/>
    <Relationship TargetMode="External" Target="https://www.legis.iowa.gov/docs/iac/rule/571.15.24.pdf" Type="http://schemas.openxmlformats.org/officeDocument/2006/relationships/hyperlink" Id="rId90"/>
    <Relationship TargetMode="External" Target="https://www.legis.iowa.gov/docs/iac/chapter/561.7.pdf" Type="http://schemas.openxmlformats.org/officeDocument/2006/relationships/hyperlink" Id="rId91"/>
    <Relationship TargetMode="External" Target="https://www.legis.iowa.gov/docs/ico/chapter/483A.24.pdf" Type="http://schemas.openxmlformats.org/officeDocument/2006/relationships/hyperlink" Id="rId92"/>
    <Relationship TargetMode="External" Target="https://www.legis.iowa.gov/docs/iac/chapter/561.12.pdf" Type="http://schemas.openxmlformats.org/officeDocument/2006/relationships/hyperlink" Id="rId93"/>
    <Relationship TargetMode="External" Target="https://www.legis.iowa.gov/docs/ico/chapter/483A.27.pdf" Type="http://schemas.openxmlformats.org/officeDocument/2006/relationships/hyperlink" Id="rId94"/>
    <Relationship TargetMode="External" Target="https://www.legis.iowa.gov/docs/ico/chapter/483A.1.pdf" Type="http://schemas.openxmlformats.org/officeDocument/2006/relationships/hyperlink" Id="rId95"/>
    <Relationship TargetMode="External" Target="https://www.legis.iowa.gov/docs/ico/chapter/483A.24.pdf" Type="http://schemas.openxmlformats.org/officeDocument/2006/relationships/hyperlink" Id="rId96"/>
    <Relationship TargetMode="External" Target="https://www.legis.iowa.gov/docs/ico/chapter/483A.24.pdf" Type="http://schemas.openxmlformats.org/officeDocument/2006/relationships/hyperlink" Id="rId97"/>
    <Relationship TargetMode="External" Target="https://www.legis.iowa.gov/docs/ico/chapter/483A.24.pdf" Type="http://schemas.openxmlformats.org/officeDocument/2006/relationships/hyperlink" Id="rId98"/>
    <Relationship TargetMode="External" Target="https://www.legis.iowa.gov/docs/ico/chapter/456A.pdf" Type="http://schemas.openxmlformats.org/officeDocument/2006/relationships/hyperlink" Id="rId99"/>
    <Relationship TargetMode="External" Target="https://www.legis.iowa.gov/docs/ico/chapter/481A.pdf" Type="http://schemas.openxmlformats.org/officeDocument/2006/relationships/hyperlink" Id="rId100"/>
    <Relationship TargetMode="External" Target="https://www.legis.iowa.gov/docs/ico/chapter/483A.pdf" Type="http://schemas.openxmlformats.org/officeDocument/2006/relationships/hyperlink" Id="rId101"/>
    <Relationship Target="footer.xml" Type="http://schemas.openxmlformats.org/officeDocument/2006/relationships/footer" Id="rId10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