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II</w:t>
      </w:r>
    </w:p>
    <w:p>
      <w:pPr>
        <w:pBdr>
          <w:bottom w:space="3"/>
        </w:pBdr>
        <w:spacing w:before="0" w:after="0"/>
        <w:ind w:left="120"/>
        <w:jc w:val="center"/>
      </w:pPr>
      <w:r>
        <w:rPr>
          <w:rFonts w:ascii="Times New Roman" w:hAnsi="Times New Roman"/>
          <w:b w:val="false"/>
          <w:i/>
          <w:color w:val="000000"/>
          <w:sz w:val="16"/>
        </w:rPr>
        <w:t>LICENSES, PERMITS AND CONCESSION CONTRACTS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CONCESSIONS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571—14.1</w:t>
      </w:r>
      <w:r>
        <w:rPr>
          <w:rFonts w:ascii="Times New Roman" w:hAnsi="Times New Roman"/>
          <w:b/>
          <w:i w:val="false"/>
          <w:color w:val="000000"/>
          <w:sz w:val="22"/>
        </w:rPr>
        <w:t xml:space="preserve">(461A)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“Concessionaire” </w:t>
      </w:r>
      <w:r>
        <w:rPr>
          <w:rFonts w:ascii="Times New Roman" w:hAnsi="Times New Roman"/>
          <w:b w:val="false"/>
          <w:i w:val="false"/>
          <w:color w:val="000000"/>
          <w:sz w:val="22"/>
        </w:rPr>
        <w:t>means a person or firm granted a contract to operate a concession in a state park or recreation area. The concessionaire is an independent contractor and not an employee or agent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“Concession operation” </w:t>
      </w:r>
      <w:r>
        <w:rPr>
          <w:rFonts w:ascii="Times New Roman" w:hAnsi="Times New Roman"/>
          <w:b w:val="false"/>
          <w:i w:val="false"/>
          <w:color w:val="000000"/>
          <w:sz w:val="22"/>
        </w:rPr>
        <w:t>means operating a business within a concession area in a state park or recreation area including, but not limited to, boat rental, snack food sales, beach operation, and sale of fishing bait and tackle.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461A.1(2)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461A.1(3)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“Friends group or organization” </w:t>
      </w:r>
      <w:r>
        <w:rPr>
          <w:rFonts w:ascii="Times New Roman" w:hAnsi="Times New Roman"/>
          <w:b w:val="false"/>
          <w:i w:val="false"/>
          <w:color w:val="000000"/>
          <w:sz w:val="22"/>
        </w:rPr>
        <w:t xml:space="preserve">means an organization incorporated under Iowa Code chapter </w:t>
      </w:r>
      <w:hyperlink r:id="rId7">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as a not-for-profit group which has been formed solely for the purposes of promoting and enhancing a particular state park, recreation area, or the Iowa state park system, or any combination of the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“Gross receipts” </w:t>
      </w:r>
      <w:r>
        <w:rPr>
          <w:rFonts w:ascii="Times New Roman" w:hAnsi="Times New Roman"/>
          <w:b w:val="false"/>
          <w:i w:val="false"/>
          <w:color w:val="000000"/>
          <w:sz w:val="22"/>
        </w:rPr>
        <w:t>means the total amount received, excluding sales tax, realized by or accruing to the concessionaire from all sales, for cash or credit, of services, accommodations, materials, or other merchandise pursuant to rights granted in the contract, including gross receipts of subconcessionaires. All moneys paid into coin-operated devices, except telephones, shall be included in gross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concession” </w:t>
      </w:r>
      <w:r>
        <w:rPr>
          <w:rFonts w:ascii="Times New Roman" w:hAnsi="Times New Roman"/>
          <w:b w:val="false"/>
          <w:i w:val="false"/>
          <w:color w:val="000000"/>
          <w:sz w:val="22"/>
        </w:rPr>
        <w:t>means the right to establish a concession operation in an area that does not currently have a concessionaire or an area where the department wishes to invite bids for a mobile type concession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“Newspaper” </w:t>
      </w:r>
      <w:r>
        <w:rPr>
          <w:rFonts w:ascii="Times New Roman" w:hAnsi="Times New Roman"/>
          <w:b w:val="false"/>
          <w:i w:val="false"/>
          <w:color w:val="000000"/>
          <w:sz w:val="22"/>
        </w:rPr>
        <w:t xml:space="preserve">means the same as described in Iowa Code section </w:t>
      </w:r>
      <w:hyperlink r:id="rId8">
        <w:r>
          <w:rPr>
            <w:rStyle w:val="Hyperlink"/>
            <w:rFonts w:ascii="Times New Roman" w:hAnsi="Times New Roman"/>
            <w:b w:val="false"/>
            <w:i w:val="false"/>
            <w:color w:val="000000"/>
            <w:sz w:val="22"/>
          </w:rPr>
          <w:t>618.3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571—14.2</w:t>
      </w:r>
      <w:r>
        <w:rPr>
          <w:rFonts w:ascii="Times New Roman" w:hAnsi="Times New Roman"/>
          <w:b/>
          <w:i w:val="false"/>
          <w:color w:val="000000"/>
          <w:sz w:val="22"/>
        </w:rPr>
        <w:t xml:space="preserve">(461A) </w:t>
      </w:r>
      <w:r>
        <w:rPr>
          <w:rFonts w:ascii="Times New Roman" w:hAnsi="Times New Roman"/>
          <w:b/>
          <w:i w:val="false"/>
          <w:color w:val="000000"/>
          <w:sz w:val="22"/>
        </w:rPr>
        <w:t xml:space="preserve">Advertising or notice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New concession.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Advertising. When the department desires to obtain a new concession operation to offer multiple concession services in an area, the department shall advertise the request for proposals on the targeted small business website and the department’s requests for proposals website. The department shall advertise a notice for the request for proposals in one newspaper of statewide circulation and in at least one newspaper designated by the county to be used for official publications in the county in which the state park or recreation area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names and location of the area(s) in which concession operations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general types of services the department would expect a concessionaire to furnish.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 to obtain the request for proposals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deadline for submission of proposals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allow a minimum of 15 days between the date of publication of advertisements and the deadline for submission of proposals.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for proposals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scope of work that contains detailed information regarding the types of services expected to be offered by the concessionaire and the history of the gross receipts reported for the previous five operating years by the prior concessionaire (if applicable); bid terms acceptable to the department; the name, address, and telephone number of the person to contact regarding the request for proposals; and the date and time by which the proposals must be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map of the park in which the concession operation is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sample of the contract the successful bidder will be expected to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Samples of report forms that the concessionaire must submit to the department while the concession is in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Renewal of existing concession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at its option, mutually agree with the concessionaire to renew a contract during or at the end of its term. A concessionaire may request renewal during the term of a contract after a minimum of three years of concession operation and a minimum of six months prior to expiration of the existing contract. The provisions of the renewal contract shall be negotiated between the department and the concessionaire. Should either party choose not to renew the contract, appropriate notice shall be sent to the other party four months prior to the expiration date of the existing contract, and the department may advertise for bids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publish a notice of intent to renew a concession contract that has been negotiated in accordance with paragraph </w:t>
      </w:r>
      <w:hyperlink r:id="rId9">
        <w:r>
          <w:rPr>
            <w:rStyle w:val="Hyperlink"/>
            <w:rFonts w:ascii="Times New Roman" w:hAnsi="Times New Roman"/>
            <w:b w:val="false"/>
            <w:i w:val="false"/>
            <w:color w:val="000000"/>
            <w:sz w:val="22"/>
          </w:rPr>
          <w:t>14.2(2)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notice shall be published in the same manner as provided in paragraph </w:t>
      </w:r>
      <w:hyperlink r:id="rId10">
        <w:r>
          <w:rPr>
            <w:rStyle w:val="Hyperlink"/>
            <w:rFonts w:ascii="Times New Roman" w:hAnsi="Times New Roman"/>
            <w:b w:val="false"/>
            <w:i w:val="false"/>
            <w:color w:val="000000"/>
            <w:sz w:val="22"/>
          </w:rPr>
          <w:t>14.2(1)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shall solicit public comments regarding the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director shall, upon review of comments received, determine whether to solicit bids or proceed with the renewal of the existing contract and shall notify the concessionaire of the decision in writing. If the director denies the renewal request, the existing concessionaire may request a contested case proceeding pursuant to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571—14.3</w:t>
      </w:r>
      <w:r>
        <w:rPr>
          <w:rFonts w:ascii="Times New Roman" w:hAnsi="Times New Roman"/>
          <w:b/>
          <w:i w:val="false"/>
          <w:color w:val="000000"/>
          <w:sz w:val="22"/>
        </w:rPr>
        <w:t xml:space="preserve">(461A) </w:t>
      </w:r>
      <w:r>
        <w:rPr>
          <w:rFonts w:ascii="Times New Roman" w:hAnsi="Times New Roman"/>
          <w:b/>
          <w:i w:val="false"/>
          <w:color w:val="000000"/>
          <w:sz w:val="22"/>
        </w:rPr>
        <w:t xml:space="preserve">Bidding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Proposals. </w:t>
      </w:r>
      <w:r>
        <w:rPr>
          <w:rFonts w:ascii="Times New Roman" w:hAnsi="Times New Roman"/>
          <w:b w:val="false"/>
          <w:i w:val="false"/>
          <w:color w:val="000000"/>
          <w:sz w:val="22"/>
        </w:rPr>
        <w:t>Persons interested in operating a concession in a state park or recreation area shall submit a proposal in the format requested in the request for proposals. It is the bidder’s responsibility to inspect the area proposed for concession operation and be fully aware of the condition and physical layout of the area. The proposal shall also include an explanation of any proposed operation not mentioned in the request for proposals. Concession facilities shall be bid on an “as is” basis unless the department agrees in writing to undertake certain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reject any or all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bids are received for a concession operation, the department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Readvertise for bids;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 interested persons and attempt to negotiate a contract;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Determine that there will be no concession operation in that particular area that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Vending machines.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of vending machines in state parks and recreation areas shall not be subject to the advertising and bidding process established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Vending machines may be placed in state parks and recreation areas only by the publisher or distributor of the newspaper to be sold, the distributor of the soft drink to be sold in the machines, or by private vending machine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Companies placing vending machines in state parks and recreation areas must submit a proposal to the department that states the location, number, and type of vending machines to be placed; the price(s) that will be charged to the public; and the proposed fee or commission to be paid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fees or commissions to be paid by the vendor to the state shall be paid directly to the department’s central office in Des Moines,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install new electrical lines, concrete pads, or any other items needed to enable installation of vending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Firewood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Firewood sales contracts shall not be subject to the advertising and bidding process established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interested in selling firewood in a state park or recreation area that has no other concessionaire, or if the concessionaire has declined the opportunity to sell firewood, shall submit a request to the department that identifies the area(s) where the firewood would be sold, the price to be charged to the public, and the proposed fee or commission to be paid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firewood sold or distributed in state parks and recreation areas shall be accompanied with a firewood label that meets labeling requirements identified in rule </w:t>
      </w:r>
      <w:hyperlink r:id="rId12">
        <w:r>
          <w:rPr>
            <w:rStyle w:val="Hyperlink"/>
            <w:rFonts w:ascii="Times New Roman" w:hAnsi="Times New Roman"/>
            <w:b w:val="false"/>
            <w:i w:val="false"/>
            <w:color w:val="000000"/>
            <w:sz w:val="22"/>
          </w:rPr>
          <w:t>21—46.16</w:t>
        </w:r>
      </w:hyperlink>
      <w:r>
        <w:rPr>
          <w:rFonts w:ascii="Times New Roman" w:hAnsi="Times New Roman"/>
          <w:b w:val="false"/>
          <w:i w:val="false"/>
          <w:color w:val="000000"/>
          <w:sz w:val="22"/>
        </w:rPr>
        <w:t>(177A).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firewood that originates from a quarantined area and that is sold or distributed in state parks and recreation areas must be certified by the United States Department of Agriculture to show that the firewood has been processed or treated according to applicable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color w:val="000000"/>
          <w:sz w:val="22"/>
        </w:rPr>
        <w:t xml:space="preserve">Friends group or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Concession contracts with a friends group or organization, as defined in rule </w:t>
      </w:r>
      <w:hyperlink r:id="rId13">
        <w:r>
          <w:rPr>
            <w:rStyle w:val="Hyperlink"/>
            <w:rFonts w:ascii="Times New Roman" w:hAnsi="Times New Roman"/>
            <w:b w:val="false"/>
            <w:i w:val="false"/>
            <w:color w:val="000000"/>
            <w:sz w:val="22"/>
          </w:rPr>
          <w:t>571—14.1</w:t>
        </w:r>
      </w:hyperlink>
      <w:r>
        <w:rPr>
          <w:rFonts w:ascii="Times New Roman" w:hAnsi="Times New Roman"/>
          <w:b w:val="false"/>
          <w:i w:val="false"/>
          <w:color w:val="000000"/>
          <w:sz w:val="22"/>
        </w:rPr>
        <w:t>(461A), in state parks and recreation areas shall not be subject to the advertising and bidding process established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friends group or organization shall submit a proposal to operate a concession operation at a particular state park or recreation area. The proposal shall state the services to be provided, the proposed hours of operation, and proposed staffing.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net proceeds from the sale of merchandise and other concession services shall be spent on state park or recreation area improvement projects.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571—14.4</w:t>
      </w:r>
      <w:r>
        <w:rPr>
          <w:rFonts w:ascii="Times New Roman" w:hAnsi="Times New Roman"/>
          <w:b/>
          <w:i w:val="false"/>
          <w:color w:val="000000"/>
          <w:sz w:val="22"/>
        </w:rPr>
        <w:t xml:space="preserve">(461A) </w:t>
      </w:r>
      <w:r>
        <w:rPr>
          <w:rFonts w:ascii="Times New Roman" w:hAnsi="Times New Roman"/>
          <w:b/>
          <w:i w:val="false"/>
          <w:color w:val="000000"/>
          <w:sz w:val="22"/>
        </w:rPr>
        <w:t xml:space="preserve">Selection of a concessionaire. </w:t>
      </w:r>
      <w:r>
        <w:rPr>
          <w:rFonts w:ascii="Times New Roman" w:hAnsi="Times New Roman"/>
          <w:b w:val="false"/>
          <w:i w:val="false"/>
          <w:color w:val="000000"/>
          <w:sz w:val="22"/>
        </w:rPr>
        <w:t>The department shall select the concessionaire it determines to be best suited for a concession operation in a state park or recreation area upon evaluation of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services proposed in the concession operation.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concessionaire’s managerial experience and other concession-related experience.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concessionaire’s financial stability, based upon a review of the concessionaire’s existing profitability, equity, available cash, and other applicable financial data.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annual lease payment bid.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length of contract proposed.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check of all business and personal references given in the proposal.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use of environmentally friendly practices and materials including, but not limited to, participation in recycling programs, use of items that contain recycled-content materials, use of energy-efficient appliances and equipment, and light pollution reduction.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results of a criminal background check and driver’s license record check.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571—14.5</w:t>
      </w:r>
      <w:r>
        <w:rPr>
          <w:rFonts w:ascii="Times New Roman" w:hAnsi="Times New Roman"/>
          <w:b/>
          <w:i w:val="false"/>
          <w:color w:val="000000"/>
          <w:sz w:val="22"/>
        </w:rPr>
        <w:t xml:space="preserve">(461A) </w:t>
      </w:r>
      <w:r>
        <w:rPr>
          <w:rFonts w:ascii="Times New Roman" w:hAnsi="Times New Roman"/>
          <w:b/>
          <w:i w:val="false"/>
          <w:color w:val="000000"/>
          <w:sz w:val="22"/>
        </w:rPr>
        <w:t xml:space="preserve">Concession contract—general. </w:t>
      </w:r>
      <w:r>
        <w:rPr>
          <w:rFonts w:ascii="Times New Roman" w:hAnsi="Times New Roman"/>
          <w:b w:val="false"/>
          <w:i w:val="false"/>
          <w:color w:val="000000"/>
          <w:sz w:val="22"/>
        </w:rPr>
        <w:t>The term of the concession contract shall be for no more than a ten-year period without being subject to the renewal process as outlined in this chapter. The contract may be amended during its term, in writing, and effective only if the amendments are approved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The contract may allow the construction of department-approved buildings or other facilities by the concessionaire in lieu of annual concession fee payments on an equal value basis. The value of the buildings or facilities shall be based on actual, documented cost of construction. Any structures built under this contract condition shall become state property and cannot be removed by the concessionaire unless removal is required by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r>
        <w:rPr>
          <w:rFonts w:ascii="Times New Roman" w:hAnsi="Times New Roman"/>
          <w:b w:val="false"/>
          <w:i w:val="false"/>
          <w:color w:val="000000"/>
          <w:sz w:val="22"/>
        </w:rPr>
        <w:t>Insurance coverage required to be carried by the concessionaire shall be “occurrence” type rather than “claims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color w:val="000000"/>
          <w:sz w:val="22"/>
        </w:rPr>
        <w:t xml:space="preserve">Exclusive rights. </w:t>
      </w:r>
      <w:r>
        <w:rPr>
          <w:rFonts w:ascii="Times New Roman" w:hAnsi="Times New Roman"/>
          <w:b w:val="false"/>
          <w:i w:val="false"/>
          <w:color w:val="000000"/>
          <w:sz w:val="22"/>
        </w:rPr>
        <w:t>The contract gives the concessionaire exclusive rights to conduct the concession operation in a particular state park or recreation area. The concessionaire must have department approval prior to allowing other vendors to do business in the area under the terms of the contract. This provision does not prohibit the department from allowing other vendors in an area if the department identifies a service that is not under contract with the concessionaire and the concessionaire declines to provide that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color w:val="000000"/>
          <w:sz w:val="22"/>
        </w:rPr>
        <w:t xml:space="preserve">Temporary authorization. </w:t>
      </w:r>
      <w:r>
        <w:rPr>
          <w:rFonts w:ascii="Times New Roman" w:hAnsi="Times New Roman"/>
          <w:b w:val="false"/>
          <w:i w:val="false"/>
          <w:color w:val="000000"/>
          <w:sz w:val="22"/>
        </w:rPr>
        <w:t>If necessary, the department director shall have authority to issue a temporary letter of authorization to enable the successful bidder to operate a concession pending approval of the contract by the commission if commission approval is required by statute. The letter of authorization will incorporate all stipulations and conditions of the contract. The term of the letter of authorization shall not exceed 90 calendar days from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571—14.6</w:t>
      </w:r>
      <w:r>
        <w:rPr>
          <w:rFonts w:ascii="Times New Roman" w:hAnsi="Times New Roman"/>
          <w:b/>
          <w:i w:val="false"/>
          <w:color w:val="000000"/>
          <w:sz w:val="22"/>
        </w:rPr>
        <w:t xml:space="preserve">(461A) </w:t>
      </w:r>
      <w:r>
        <w:rPr>
          <w:rFonts w:ascii="Times New Roman" w:hAnsi="Times New Roman"/>
          <w:b/>
          <w:i w:val="false"/>
          <w:color w:val="000000"/>
          <w:sz w:val="22"/>
        </w:rPr>
        <w:t xml:space="preserve">Dispute resolution. </w:t>
      </w:r>
      <w:r>
        <w:rPr>
          <w:rFonts w:ascii="Times New Roman" w:hAnsi="Times New Roman"/>
          <w:b w:val="false"/>
          <w:i w:val="false"/>
          <w:color w:val="000000"/>
          <w:sz w:val="22"/>
        </w:rPr>
        <w:t xml:space="preserve">Should a dispute arise between the concessionaire and the department as to the interpretation of contract stipulations or whether the concessionaire is performing satisfactorily, the concessionaire shall initially meet with the local staff and district supervisor. If the matter cannot be resolved, the bureau chief will attempt to resolve the dispute. If the dispute cannot be resolved, the contract shall be terminated and the department may advertise for bids in accordance with this chapter. The requirements of Iowa Code section </w:t>
      </w:r>
      <w:hyperlink r:id="rId14">
        <w:r>
          <w:rPr>
            <w:rStyle w:val="Hyperlink"/>
            <w:rFonts w:ascii="Times New Roman" w:hAnsi="Times New Roman"/>
            <w:b w:val="false"/>
            <w:i w:val="false"/>
            <w:color w:val="000000"/>
            <w:sz w:val="22"/>
          </w:rPr>
          <w:t>17A.18(3)</w:t>
        </w:r>
      </w:hyperlink>
      <w:r>
        <w:rPr>
          <w:rFonts w:ascii="Times New Roman" w:hAnsi="Times New Roman"/>
          <w:b w:val="false"/>
          <w:i w:val="false"/>
          <w:color w:val="000000"/>
          <w:sz w:val="22"/>
        </w:rPr>
        <w:t xml:space="preserve"> shall apply to any contract termination under the provisions of this rule. The provisions of this rule shall not be a bar to or prerequisite of the provisions of rule </w:t>
      </w:r>
      <w:hyperlink r:id="rId15">
        <w:r>
          <w:rPr>
            <w:rStyle w:val="Hyperlink"/>
            <w:rFonts w:ascii="Times New Roman" w:hAnsi="Times New Roman"/>
            <w:b w:val="false"/>
            <w:i w:val="false"/>
            <w:color w:val="000000"/>
            <w:sz w:val="22"/>
          </w:rPr>
          <w:t>571—14.7</w:t>
        </w:r>
      </w:hyperlink>
      <w:r>
        <w:rPr>
          <w:rFonts w:ascii="Times New Roman" w:hAnsi="Times New Roman"/>
          <w:b w:val="false"/>
          <w:i w:val="false"/>
          <w:color w:val="000000"/>
          <w:sz w:val="22"/>
        </w:rPr>
        <w:t>(461A).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571—14.7</w:t>
      </w:r>
      <w:r>
        <w:rPr>
          <w:rFonts w:ascii="Times New Roman" w:hAnsi="Times New Roman"/>
          <w:b/>
          <w:i w:val="false"/>
          <w:color w:val="000000"/>
          <w:sz w:val="22"/>
        </w:rPr>
        <w:t xml:space="preserve">(461A) </w:t>
      </w:r>
      <w:r>
        <w:rPr>
          <w:rFonts w:ascii="Times New Roman" w:hAnsi="Times New Roman"/>
          <w:b/>
          <w:i w:val="false"/>
          <w:color w:val="000000"/>
          <w:sz w:val="22"/>
        </w:rPr>
        <w:t xml:space="preserve">Suspension or termination for cause.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14.7(1)</w:t>
      </w:r>
      <w:r>
        <w:rPr>
          <w:rFonts w:ascii="Times New Roman" w:hAnsi="Times New Roman"/>
          <w:b w:val="false"/>
          <w:i w:val="false"/>
          <w:color w:val="000000"/>
          <w:sz w:val="22"/>
        </w:rPr>
        <w:t> </w:t>
      </w:r>
      <w:r>
        <w:rPr>
          <w:rFonts w:ascii="Times New Roman" w:hAnsi="Times New Roman"/>
          <w:b w:val="false"/>
          <w:i/>
          <w:color w:val="000000"/>
          <w:sz w:val="22"/>
        </w:rPr>
        <w:t xml:space="preserve">Emergency suspension. </w:t>
      </w:r>
      <w:r>
        <w:rPr>
          <w:rFonts w:ascii="Times New Roman" w:hAnsi="Times New Roman"/>
          <w:b w:val="false"/>
          <w:i w:val="false"/>
          <w:color w:val="000000"/>
          <w:sz w:val="22"/>
        </w:rPr>
        <w:t>If the department determines that continued operation of the concession presents an immediate hazard to the public health, safety or welfare or is in violation of any state law or policy, the department may immediately suspend the contract by notice procedures described in the contract. The notice shall contain specific reasons for the emergency suspension.</w:t>
      </w:r>
    </w:p>
    <w:p>
      <w:pPr>
        <w:spacing w:before="0" w:after="0"/>
        <w:ind w:left="120"/>
        <w:jc w:val="both"/>
      </w:pPr>
      <w:r>
        <w:rPr>
          <w:rFonts w:ascii="Times New Roman" w:hAnsi="Times New Roman"/>
          <w:b w:val="false"/>
          <w:i w:val="false"/>
          <w:color w:val="000000"/>
          <w:sz w:val="22"/>
        </w:rPr>
        <w:t>The department may enforce the suspension by physically closing the concession premises. The department may assign employees to operate any part of a concession which the department determines should be opened during a suspension in order to provide continued services for park users.</w:t>
      </w:r>
    </w:p>
    <w:p>
      <w:pPr>
        <w:spacing w:before="0" w:after="0"/>
        <w:ind w:left="120"/>
        <w:jc w:val="both"/>
      </w:pPr>
      <w:r>
        <w:rPr>
          <w:rFonts w:ascii="Times New Roman" w:hAnsi="Times New Roman"/>
          <w:b w:val="false"/>
          <w:i w:val="false"/>
          <w:color w:val="000000"/>
          <w:sz w:val="22"/>
        </w:rPr>
        <w:t>If possible, the concessionaire may take action to correct the hazardous situation and request reinstatement of the contract if the department agrees that a hazardous situation no longer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14.7(2)</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contract. </w:t>
      </w:r>
      <w:r>
        <w:rPr>
          <w:rFonts w:ascii="Times New Roman" w:hAnsi="Times New Roman"/>
          <w:b w:val="false"/>
          <w:i w:val="false"/>
          <w:color w:val="000000"/>
          <w:sz w:val="22"/>
        </w:rPr>
        <w:t>The department may terminate the contract, for one or more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correct a hazardous condition within a reasonable time specified in the notice of emergency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Nonconformance with the stipulations of the contract including payment of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Unsatisfactory performance of the concessionaire.</w:t>
      </w:r>
    </w:p>
    <w:p>
      <w:pPr>
        <w:spacing w:before="0" w:after="0"/>
        <w:ind w:left="120"/>
        <w:jc w:val="both"/>
      </w:pPr>
      <w:r>
        <w:rPr>
          <w:rFonts w:ascii="Times New Roman" w:hAnsi="Times New Roman"/>
          <w:b w:val="false"/>
          <w:i w:val="false"/>
          <w:color w:val="000000"/>
          <w:sz w:val="22"/>
        </w:rPr>
        <w:t xml:space="preserve">Upon notice of termination of the contract, the concessionaire may request a hearing under the provisions of natural resource commission rules in </w:t>
      </w:r>
      <w:hyperlink r:id="rId16">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571—14.8</w:t>
      </w:r>
      <w:r>
        <w:rPr>
          <w:rFonts w:ascii="Times New Roman" w:hAnsi="Times New Roman"/>
          <w:b/>
          <w:i w:val="false"/>
          <w:color w:val="000000"/>
          <w:sz w:val="22"/>
        </w:rPr>
        <w:t xml:space="preserve">(456A,461A,463C) </w:t>
      </w:r>
      <w:r>
        <w:rPr>
          <w:rFonts w:ascii="Times New Roman" w:hAnsi="Times New Roman"/>
          <w:b/>
          <w:i w:val="false"/>
          <w:color w:val="000000"/>
          <w:sz w:val="22"/>
        </w:rPr>
        <w:t xml:space="preserve">Honey Creek Resort State Park exemption. </w:t>
      </w:r>
      <w:r>
        <w:rPr>
          <w:rFonts w:ascii="Times New Roman" w:hAnsi="Times New Roman"/>
          <w:b w:val="false"/>
          <w:i w:val="false"/>
          <w:color w:val="000000"/>
          <w:sz w:val="22"/>
        </w:rPr>
        <w:t>The rules in this chapter do not apply to Honey Creek Resort State Park.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461A.1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461A.3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461A.4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3/4/88, Notice 12/30/87—published 3/23/88, effective 4/27/88]</w:t>
      </w:r>
    </w:p>
    <w:p>
      <w:pPr>
        <w:spacing w:before="0" w:after="0"/>
        <w:ind w:left="120"/>
        <w:jc w:val="center"/>
      </w:pPr>
      <w:r>
        <w:rPr>
          <w:rFonts w:ascii="Times New Roman" w:hAnsi="Times New Roman"/>
          <w:b w:val="false"/>
          <w:i w:val="false"/>
          <w:color w:val="000000"/>
          <w:sz w:val="21"/>
        </w:rPr>
        <w:t>[Filed 1/6/89, Notice 11/30/88—published 1/25/89, effective 3/1/89]</w:t>
      </w:r>
    </w:p>
    <w:p>
      <w:pPr>
        <w:spacing w:before="0" w:after="0"/>
        <w:ind w:left="120"/>
        <w:jc w:val="center"/>
      </w:pPr>
      <w:r>
        <w:rPr>
          <w:rFonts w:ascii="Times New Roman" w:hAnsi="Times New Roman"/>
          <w:b w:val="false"/>
          <w:i w:val="false"/>
          <w:color w:val="000000"/>
          <w:sz w:val="21"/>
        </w:rPr>
        <w:t>[Filed 6/14/96, Notice 2/28/96—published 7/3/96, effective 8/7/96]</w:t>
      </w:r>
    </w:p>
    <w:p>
      <w:pPr>
        <w:spacing w:before="0" w:after="0"/>
        <w:ind w:left="120"/>
        <w:jc w:val="center"/>
      </w:pPr>
      <w:r>
        <w:rPr>
          <w:rFonts w:ascii="Times New Roman" w:hAnsi="Times New Roman"/>
          <w:b w:val="false"/>
          <w:i w:val="false"/>
          <w:color w:val="000000"/>
          <w:sz w:val="21"/>
        </w:rPr>
        <w:t>[Filed ARC 9552B</w:t>
      </w:r>
      <w:r>
        <w:rPr>
          <w:rFonts w:ascii="Times New Roman" w:hAnsi="Times New Roman"/>
          <w:b w:val="false"/>
          <w:i w:val="false"/>
          <w:color w:val="000000"/>
          <w:sz w:val="21"/>
        </w:rPr>
        <w:t xml:space="preserve"> (Notice ARC 9363B, IAB 2/9/11)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2133C</w:t>
      </w:r>
      <w:r>
        <w:rPr>
          <w:rFonts w:ascii="Times New Roman" w:hAnsi="Times New Roman"/>
          <w:b w:val="false"/>
          <w:i w:val="false"/>
          <w:color w:val="000000"/>
          <w:sz w:val="21"/>
        </w:rPr>
        <w:t xml:space="preserve"> (Notice ARC 2055C, IAB 7/8/15)</w:t>
      </w:r>
      <w:r>
        <w:rPr>
          <w:rFonts w:ascii="Times New Roman" w:hAnsi="Times New Roman"/>
          <w:b w:val="false"/>
          <w:i w:val="false"/>
          <w:color w:val="000000"/>
          <w:sz w:val="21"/>
        </w:rPr>
        <w:t>, IAB 9/2/15, effective 10/7/15]</w:t>
      </w:r>
    </w:p>
    <w:p>
      <w:pPr>
        <w:spacing w:before="0" w:after="0"/>
        <w:ind w:left="120"/>
        <w:jc w:val="center"/>
      </w:pPr>
      <w:r>
        <w:rPr>
          <w:rFonts w:ascii="Times New Roman" w:hAnsi="Times New Roman"/>
          <w:b w:val="false"/>
          <w:i w:val="false"/>
          <w:color w:val="000000"/>
          <w:sz w:val="21"/>
        </w:rPr>
        <w:t>[Filed ARC 7892C</w:t>
      </w:r>
      <w:r>
        <w:rPr>
          <w:rFonts w:ascii="Times New Roman" w:hAnsi="Times New Roman"/>
          <w:b w:val="false"/>
          <w:i w:val="false"/>
          <w:color w:val="000000"/>
          <w:sz w:val="21"/>
        </w:rPr>
        <w:t xml:space="preserve"> (Notice ARC 7246C,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1A.1.pdf" Type="http://schemas.openxmlformats.org/officeDocument/2006/relationships/hyperlink" Id="rId5"/>
    <Relationship TargetMode="External" Target="https://www.legis.iowa.gov/docs/ico/chapter/461A.1.pdf" Type="http://schemas.openxmlformats.org/officeDocument/2006/relationships/hyperlink" Id="rId6"/>
    <Relationship TargetMode="External" Target="https://www.legis.iowa.gov/docs/ico/chapter/504.pdf" Type="http://schemas.openxmlformats.org/officeDocument/2006/relationships/hyperlink" Id="rId7"/>
    <Relationship TargetMode="External" Target="https://www.legis.iowa.gov/docs/ico/chapter/618.3.pdf" Type="http://schemas.openxmlformats.org/officeDocument/2006/relationships/hyperlink" Id="rId8"/>
    <Relationship TargetMode="External" Target="https://www.legis.iowa.gov/docs/iac/rule/571.14.2.pdf" Type="http://schemas.openxmlformats.org/officeDocument/2006/relationships/hyperlink" Id="rId9"/>
    <Relationship TargetMode="External" Target="https://www.legis.iowa.gov/docs/iac/rule/571.14.2.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ac/rule/21.46.16.pdf" Type="http://schemas.openxmlformats.org/officeDocument/2006/relationships/hyperlink" Id="rId12"/>
    <Relationship TargetMode="External" Target="https://www.legis.iowa.gov/docs/iac/rule/571.14.1.pdf" Type="http://schemas.openxmlformats.org/officeDocument/2006/relationships/hyperlink" Id="rId13"/>
    <Relationship TargetMode="External" Target="https://www.legis.iowa.gov/docs/ico/chapter/17A.18.pdf" Type="http://schemas.openxmlformats.org/officeDocument/2006/relationships/hyperlink" Id="rId14"/>
    <Relationship TargetMode="External" Target="https://www.legis.iowa.gov/docs/iac/rule/571.14.7.pdf" Type="http://schemas.openxmlformats.org/officeDocument/2006/relationships/hyperlink" Id="rId15"/>
    <Relationship TargetMode="External" Target="https://www.legis.iowa.gov/docs/iac/chapter/571.7.pdf" Type="http://schemas.openxmlformats.org/officeDocument/2006/relationships/hyperlink" Id="rId16"/>
    <Relationship TargetMode="External" Target="https://www.legis.iowa.gov/docs/ico/chapter/461A.1.pdf" Type="http://schemas.openxmlformats.org/officeDocument/2006/relationships/hyperlink" Id="rId17"/>
    <Relationship TargetMode="External" Target="https://www.legis.iowa.gov/docs/ico/chapter/461A.3.pdf" Type="http://schemas.openxmlformats.org/officeDocument/2006/relationships/hyperlink" Id="rId18"/>
    <Relationship TargetMode="External" Target="https://www.legis.iowa.gov/docs/ico/chapter/461A.4.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