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 xml:space="preserve">PERMITS AND EASEMENTS FOR CONSTRUCTION AND OTHER ACTIVITIES </w:t>
      </w:r>
      <w:r>
        <w:br/>
      </w:r>
      <w:r>
        <w:rPr>
          <w:rFonts w:ascii="Times New Roman" w:hAnsi="Times New Roman"/>
          <w:b w:val="false"/>
          <w:i w:val="false"/>
          <w:color w:val="000000"/>
          <w:sz w:val="21"/>
        </w:rPr>
        <w:t>ON PUBLIC LANDS AND WATERS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571—13.1</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commission holds lands and waters under its jurisdiction in public trust and protects the interests of all citizens in these lands and waters.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These rules establish procedures and regulate the evaluation and issuance of permits for construction or other activities that alter the physical characteristics of public lands and waters under the jurisdiction of the commission, including those activities that occur over or under such lands and waters. However, these rules do not apply to activities accomplished by the department and its agents that would only temporarily alter the characteristics of public lands and waters and that would be considered management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These rules also establish procedures for issuance of easements to public utilities and political subdivisions for activities that are determined to have a permanent effect on use and enjoyment of public lands and waters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Impoundments regulated under Iowa Code chapter </w:t>
      </w:r>
      <w:hyperlink r:id="rId5">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Docks regulated under </w:t>
      </w:r>
      <w:hyperlink r:id="rId6">
        <w:r>
          <w:rPr>
            <w:rStyle w:val="Hyperlink"/>
            <w:rFonts w:ascii="Times New Roman" w:hAnsi="Times New Roman"/>
            <w:b w:val="false"/>
            <w:i w:val="false"/>
            <w:color w:val="000000"/>
            <w:sz w:val="22"/>
          </w:rPr>
          <w:t>571—Chapter 16</w:t>
        </w:r>
      </w:hyperlink>
      <w:r>
        <w:rPr>
          <w:rFonts w:ascii="Times New Roman" w:hAnsi="Times New Roman"/>
          <w:b w:val="false"/>
          <w:i w:val="false"/>
          <w:color w:val="000000"/>
          <w:sz w:val="22"/>
        </w:rPr>
        <w:t>, except as specified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Stationary blinds regulated under rule </w:t>
      </w:r>
      <w:hyperlink r:id="rId7">
        <w:r>
          <w:rPr>
            <w:rStyle w:val="Hyperlink"/>
            <w:rFonts w:ascii="Times New Roman" w:hAnsi="Times New Roman"/>
            <w:b w:val="false"/>
            <w:i w:val="false"/>
            <w:color w:val="000000"/>
            <w:sz w:val="22"/>
          </w:rPr>
          <w:t>571—51.6</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571—13.2</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Affected public lands and waters. </w:t>
      </w:r>
      <w:r>
        <w:rPr>
          <w:rFonts w:ascii="Times New Roman" w:hAnsi="Times New Roman"/>
          <w:b w:val="false"/>
          <w:i w:val="false"/>
          <w:color w:val="000000"/>
          <w:sz w:val="22"/>
        </w:rPr>
        <w:t>These rules are applicable to all fee title lands and waters under the jurisdiction of the commission; dedicated lands and waters under the jurisdiction of the commission and managed by the commission for public access to a meandered sovereign lake or meandered sovereign river; meandered sovereign lakes; meandered sovereign rivers; and sovereign islands, except those portions of the Iowa River and the Mississippi River where title has been conveyed to charter cities.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571—13.3</w:t>
      </w:r>
      <w:r>
        <w:rPr>
          <w:rFonts w:ascii="Times New Roman" w:hAnsi="Times New Roman"/>
          <w:b/>
          <w:i w:val="false"/>
          <w:color w:val="000000"/>
          <w:sz w:val="22"/>
        </w:rPr>
        <w:t xml:space="preserve">(455A,461A)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applies for a permit or easement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agent” </w:t>
      </w:r>
      <w:r>
        <w:rPr>
          <w:rFonts w:ascii="Times New Roman" w:hAnsi="Times New Roman"/>
          <w:b w:val="false"/>
          <w:i w:val="false"/>
          <w:color w:val="000000"/>
          <w:sz w:val="22"/>
        </w:rPr>
        <w:t xml:space="preserve">means a person, designated by the applicant, who shall be responsible to perform part or all of the proposed activity and who certifies the application according to subrule </w:t>
      </w:r>
      <w:hyperlink r:id="rId8">
        <w:r>
          <w:rPr>
            <w:rStyle w:val="Hyperlink"/>
            <w:rFonts w:ascii="Times New Roman" w:hAnsi="Times New Roman"/>
            <w:b w:val="false"/>
            <w:i w:val="false"/>
            <w:color w:val="000000"/>
            <w:sz w:val="22"/>
          </w:rPr>
          <w:t>13.9(2)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“Canal” </w:t>
      </w:r>
      <w:r>
        <w:rPr>
          <w:rFonts w:ascii="Times New Roman" w:hAnsi="Times New Roman"/>
          <w:b w:val="false"/>
          <w:i w:val="false"/>
          <w:color w:val="000000"/>
          <w:sz w:val="22"/>
        </w:rPr>
        <w:t xml:space="preserve">means a narrow strip of water, artificially made, between two water bodies described in rule </w:t>
      </w:r>
      <w:hyperlink r:id="rId9">
        <w:r>
          <w:rPr>
            <w:rStyle w:val="Hyperlink"/>
            <w:rFonts w:ascii="Times New Roman" w:hAnsi="Times New Roman"/>
            <w:b w:val="false"/>
            <w:i w:val="false"/>
            <w:color w:val="000000"/>
            <w:sz w:val="22"/>
          </w:rPr>
          <w:t>571—13.2</w:t>
        </w:r>
      </w:hyperlink>
      <w:r>
        <w:rPr>
          <w:rFonts w:ascii="Times New Roman" w:hAnsi="Times New Roman"/>
          <w:b w:val="false"/>
          <w:i w:val="false"/>
          <w:color w:val="000000"/>
          <w:sz w:val="22"/>
        </w:rPr>
        <w:t>(455A,461A,462A).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“Cantilever access structure” </w:t>
      </w:r>
      <w:r>
        <w:rPr>
          <w:rFonts w:ascii="Times New Roman" w:hAnsi="Times New Roman"/>
          <w:b w:val="false"/>
          <w:i w:val="false"/>
          <w:color w:val="000000"/>
          <w:sz w:val="22"/>
        </w:rPr>
        <w:t>means a structure constructed for improving the proximity of access to a lake or river, that has a support footing located entirely on littoral or riparian land above the ordinary high water mark (OHWM), and that extends from the footing and is completely suspended above the water at normal water elevation with no occupation of the lakebed or riverbed.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“Channel” </w:t>
      </w:r>
      <w:r>
        <w:rPr>
          <w:rFonts w:ascii="Times New Roman" w:hAnsi="Times New Roman"/>
          <w:b w:val="false"/>
          <w:i w:val="false"/>
          <w:color w:val="000000"/>
          <w:sz w:val="22"/>
        </w:rPr>
        <w:t>means a narrow body of water that may be natural or artificially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“Charter cities” </w:t>
      </w:r>
      <w:r>
        <w:rPr>
          <w:rFonts w:ascii="Times New Roman" w:hAnsi="Times New Roman"/>
          <w:b w:val="false"/>
          <w:i w:val="false"/>
          <w:color w:val="000000"/>
          <w:sz w:val="22"/>
        </w:rPr>
        <w:t>means the city of Wapello operating under special charter enacted in 1856; the city of Camanche operating under special charter enacted in 1857; the city of Davenport by chapter 84, Acts of the 47th General Assembly; the cities of Burlington, Clinton, Dubuque, Fort Madison, Keokuk, and Muscatine by chapter 249, Acts of the 51st General Assembly; and the city of Le Claire by chapter 383, Acts of the 58th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boat ramp” </w:t>
      </w:r>
      <w:r>
        <w:rPr>
          <w:rFonts w:ascii="Times New Roman" w:hAnsi="Times New Roman"/>
          <w:b w:val="false"/>
          <w:i w:val="false"/>
          <w:color w:val="000000"/>
          <w:sz w:val="22"/>
        </w:rPr>
        <w:t>means a boat ramp installed or maintained as part of a business to provide access to a public water body where use of the ramp is available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“Easement” </w:t>
      </w:r>
      <w:r>
        <w:rPr>
          <w:rFonts w:ascii="Times New Roman" w:hAnsi="Times New Roman"/>
          <w:b w:val="false"/>
          <w:i w:val="false"/>
          <w:color w:val="000000"/>
          <w:sz w:val="22"/>
        </w:rPr>
        <w:t xml:space="preserve">means an easement authorized under Iowa Code section </w:t>
      </w:r>
      <w:hyperlink r:id="rId10">
        <w:r>
          <w:rPr>
            <w:rStyle w:val="Hyperlink"/>
            <w:rFonts w:ascii="Times New Roman" w:hAnsi="Times New Roman"/>
            <w:b w:val="false"/>
            <w:i w:val="false"/>
            <w:color w:val="000000"/>
            <w:sz w:val="22"/>
          </w:rPr>
          <w:t>461A.25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 title lands and waters” </w:t>
      </w:r>
      <w:r>
        <w:rPr>
          <w:rFonts w:ascii="Times New Roman" w:hAnsi="Times New Roman"/>
          <w:b w:val="false"/>
          <w:i w:val="false"/>
          <w:color w:val="000000"/>
          <w:sz w:val="22"/>
        </w:rPr>
        <w:t>means lands and waters for which title is acquired by deed or testamentary devise.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“Lease” </w:t>
      </w:r>
      <w:r>
        <w:rPr>
          <w:rFonts w:ascii="Times New Roman" w:hAnsi="Times New Roman"/>
          <w:b w:val="false"/>
          <w:i w:val="false"/>
          <w:color w:val="000000"/>
          <w:sz w:val="22"/>
        </w:rPr>
        <w:t xml:space="preserve">means a lease authorized under Iowa Code section </w:t>
      </w:r>
      <w:hyperlink r:id="rId11">
        <w:r>
          <w:rPr>
            <w:rStyle w:val="Hyperlink"/>
            <w:rFonts w:ascii="Times New Roman" w:hAnsi="Times New Roman"/>
            <w:b w:val="false"/>
            <w:i w:val="false"/>
            <w:color w:val="000000"/>
            <w:sz w:val="22"/>
          </w:rPr>
          <w:t>461A.25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“Littoral land” </w:t>
      </w:r>
      <w:r>
        <w:rPr>
          <w:rFonts w:ascii="Times New Roman" w:hAnsi="Times New Roman"/>
          <w:b w:val="false"/>
          <w:i w:val="false"/>
          <w:color w:val="000000"/>
          <w:sz w:val="22"/>
        </w:rPr>
        <w:t>means land abutting a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“Meandered sovereign lakes” </w:t>
      </w:r>
      <w:r>
        <w:rPr>
          <w:rFonts w:ascii="Times New Roman" w:hAnsi="Times New Roman"/>
          <w:b w:val="false"/>
          <w:i w:val="false"/>
          <w:color w:val="000000"/>
          <w:sz w:val="22"/>
        </w:rPr>
        <w:t xml:space="preserve">means those lakes which, at the time of the original federal government surveys, were surveyed as navigable and important water bodies and were transferred to the states upon their admission to the union to be transferred or retained by the public in accordance with the laws of the respective states. A list of these lakes is available on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“Meandered sovereign rivers” </w:t>
      </w:r>
      <w:r>
        <w:rPr>
          <w:rFonts w:ascii="Times New Roman" w:hAnsi="Times New Roman"/>
          <w:b w:val="false"/>
          <w:i w:val="false"/>
          <w:color w:val="000000"/>
          <w:sz w:val="22"/>
        </w:rPr>
        <w:t xml:space="preserve">means those rivers which, at the time of the original federal government surveys, were surveyed as navigable and important water bodies and were transferred to the states upon their admission to the union to be transferred or retained by the public in accordance with the laws of the respective states upon their admission to the union. A list of such rivers is available on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stone riprap” </w:t>
      </w:r>
      <w:r>
        <w:rPr>
          <w:rFonts w:ascii="Times New Roman" w:hAnsi="Times New Roman"/>
          <w:b w:val="false"/>
          <w:i w:val="false"/>
          <w:color w:val="000000"/>
          <w:sz w:val="22"/>
        </w:rPr>
        <w:t>means broken limestone, dolomite, quartzite or fieldstone meeting Iowa department of transportation specification 4130, Class D (Iowa department of transportation’s standard specifications for highway and bridge construction, 2015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“Ordinary high water mark”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“OHWM” </w:t>
      </w:r>
      <w:r>
        <w:rPr>
          <w:rFonts w:ascii="Times New Roman" w:hAnsi="Times New Roman"/>
          <w:b w:val="false"/>
          <w:i w:val="false"/>
          <w:color w:val="000000"/>
          <w:sz w:val="22"/>
        </w:rPr>
        <w:t xml:space="preserve">means the boundary between meandered sovereign lakes and rivers, except the Mississippi River, and littoral or riparian property. The OHWM is the limit where high water occupies the land so long and continuously as to wrest terrestrial vegetation from the soil or saturate the root zone and destroy its value for agricultural purposes. The OHWM is the boundary between upland and wetland as defined by the 1987 Corps of Engineers Wetlands Delineation Manual and Regional Supplement to the Corps of Engineers Wetland Delineation Manual: Midwest Region (Version 2.0). For Storm Lake in Buena Vista County and Clear Lake in Cerro Gordo County, the elevation has been established by adjudication.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“Ordinary high water mark of the Mississippi River” </w:t>
      </w:r>
      <w:r>
        <w:rPr>
          <w:rFonts w:ascii="Times New Roman" w:hAnsi="Times New Roman"/>
          <w:b w:val="false"/>
          <w:i w:val="false"/>
          <w:color w:val="000000"/>
          <w:sz w:val="22"/>
        </w:rPr>
        <w:t>means the elevation, as defined by criteria in the Code of Federal Regulations, 33 CFR Part 328.3 (November 13, 1986), promulgated by the U.S. Army Corps of Engineers, where the water exists at or below such elevation 75 percent of the time as shown by water stage records since construction of the locks and dams in the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sovereign lands construction permit issued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means a person who receives a permit pursuant to these rules, which may also include the authorized agent if designated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boat ramp” </w:t>
      </w:r>
      <w:r>
        <w:rPr>
          <w:rFonts w:ascii="Times New Roman" w:hAnsi="Times New Roman"/>
          <w:b w:val="false"/>
          <w:i w:val="false"/>
          <w:color w:val="000000"/>
          <w:sz w:val="22"/>
        </w:rPr>
        <w:t>means a boat ramp constructed to provide public access from public land to a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lands” </w:t>
      </w:r>
      <w:r>
        <w:rPr>
          <w:rFonts w:ascii="Times New Roman" w:hAnsi="Times New Roman"/>
          <w:b w:val="false"/>
          <w:i w:val="false"/>
          <w:color w:val="000000"/>
          <w:sz w:val="22"/>
        </w:rPr>
        <w:t>means land under the jurisdiction of the commission that is owned by the state or that has been dedicated for public access to a meandered sovereign lake or meandered sovereign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waters” </w:t>
      </w:r>
      <w:r>
        <w:rPr>
          <w:rFonts w:ascii="Times New Roman" w:hAnsi="Times New Roman"/>
          <w:b w:val="false"/>
          <w:i w:val="false"/>
          <w:color w:val="000000"/>
          <w:sz w:val="22"/>
        </w:rPr>
        <w:t>means a water body under the jurisdiction of the commission that is owned by the state or that has been dedicated for public access to a meandered sovereign lake or meandered sovereign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“Riparian land” </w:t>
      </w:r>
      <w:r>
        <w:rPr>
          <w:rFonts w:ascii="Times New Roman" w:hAnsi="Times New Roman"/>
          <w:b w:val="false"/>
          <w:i w:val="false"/>
          <w:color w:val="000000"/>
          <w:sz w:val="22"/>
        </w:rPr>
        <w:t>means land abutting a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“Sovereign island” </w:t>
      </w:r>
      <w:r>
        <w:rPr>
          <w:rFonts w:ascii="Times New Roman" w:hAnsi="Times New Roman"/>
          <w:b w:val="false"/>
          <w:i w:val="false"/>
          <w:color w:val="000000"/>
          <w:sz w:val="22"/>
        </w:rPr>
        <w:t>means an island located within a sovereign meandered lake or a sovereign meandered river that was transferred to the state upon its admission to the union and whose title continues to be retained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riprap” </w:t>
      </w:r>
      <w:r>
        <w:rPr>
          <w:rFonts w:ascii="Times New Roman" w:hAnsi="Times New Roman"/>
          <w:b w:val="false"/>
          <w:i w:val="false"/>
          <w:color w:val="000000"/>
          <w:sz w:val="22"/>
        </w:rPr>
        <w:t>means broken stone, dolomite, quartzite, fieldstone, or broken concrete meeting Iowa department of transportation specification 4130, Class D (Iowa department of transportation’s standard specifications for highway and bridge construction, 2015 edition). Broken concrete shall not have reinforcing materials protruding from the surface of the riprap. Standard riprap shall not include petroleum-based materials.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PERMITS</w:t>
      </w:r>
    </w:p>
    <w:p>
      <w:pPr>
        <w:spacing w:before="0" w:after="0"/>
        <w:ind w:left="120"/>
        <w:jc w:val="both"/>
      </w:pPr>
      <w:r>
        <w:rPr>
          <w:rFonts w:ascii="Times New Roman" w:hAnsi="Times New Roman"/>
          <w:b/>
          <w:i w:val="false"/>
          <w:color w:val="000000"/>
          <w:sz w:val="22"/>
        </w:rPr>
        <w:t>571—13.4</w:t>
      </w:r>
      <w:r>
        <w:rPr>
          <w:rFonts w:ascii="Times New Roman" w:hAnsi="Times New Roman"/>
          <w:b/>
          <w:i w:val="false"/>
          <w:color w:val="000000"/>
          <w:sz w:val="22"/>
        </w:rPr>
        <w:t xml:space="preserve">(455A,461A) </w:t>
      </w:r>
      <w:r>
        <w:rPr>
          <w:rFonts w:ascii="Times New Roman" w:hAnsi="Times New Roman"/>
          <w:b/>
          <w:i w:val="false"/>
          <w:color w:val="000000"/>
          <w:sz w:val="22"/>
        </w:rPr>
        <w:t xml:space="preserve">Permits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No person shall temporarily or permanently place or build any structure or alter the characteristics of public lands or waters under the jurisdiction of or managed by the commission without a permit issued by the department prior to commencement of such activities as provided in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Hazardous conditions. </w:t>
      </w:r>
      <w:r>
        <w:rPr>
          <w:rFonts w:ascii="Times New Roman" w:hAnsi="Times New Roman"/>
          <w:b w:val="false"/>
          <w:i w:val="false"/>
          <w:color w:val="000000"/>
          <w:sz w:val="22"/>
        </w:rPr>
        <w:t>Trees, rock, brush or other natural materials located on sovereign or dedicated lands may be removed by persons without a permit issued pursuant to these rules only after the department, in its sole discretion, determines and evidences in writing that a hazard or other detrimental condition exists and that the proposed mitigative activity is appropriate. Such activity shall be limited only to the work required to address the immediate hazard or other detrimental condition. Any removal allowed by this rule shall conform to the requirements enumerated by the department regarding such removal, or the removal shall be deemed an unauthorized action resulting in damage to public lands and waters. Persons proposing to remove hazards must contact a local department official and request an exception to a permit. The department official shall inspect the hazard and provide written authorization to proceed or shall require the person to apply for a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571—13.5</w:t>
      </w:r>
      <w:r>
        <w:rPr>
          <w:rFonts w:ascii="Times New Roman" w:hAnsi="Times New Roman"/>
          <w:b/>
          <w:i w:val="false"/>
          <w:color w:val="000000"/>
          <w:sz w:val="22"/>
        </w:rPr>
        <w:t xml:space="preserve">(455A,461A) </w:t>
      </w:r>
      <w:r>
        <w:rPr>
          <w:rFonts w:ascii="Times New Roman" w:hAnsi="Times New Roman"/>
          <w:b/>
          <w:i w:val="false"/>
          <w:color w:val="000000"/>
          <w:sz w:val="22"/>
        </w:rPr>
        <w:t xml:space="preserve">Interest in real estate. </w:t>
      </w:r>
      <w:r>
        <w:rPr>
          <w:rFonts w:ascii="Times New Roman" w:hAnsi="Times New Roman"/>
          <w:b w:val="false"/>
          <w:i w:val="false"/>
          <w:color w:val="000000"/>
          <w:sz w:val="22"/>
        </w:rPr>
        <w:t>A permit shall be construed to do no more than give the permit holder a license to alter an area as specifically set forth in the permit. The permit creates no interest, personal or real, in the real estate covered by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571—13.6</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In considering complete applications, the department will evaluate the impact of the proposed activities on public use and enjoyment of public lands or waters, on the natural resources in the areas within and surrounding the proposed activities, and the department’s present and future intended management for the area against the applicant’s identified and reasonable need to undertake the proposed activities and the viable alternatives that may exist with respect to the proposed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In no event shall the department issue a permit for activities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May result in the taking, possession, transport, import, export, processing, selling, buying, transporting, or receiving any species of fish, plants or wildlife appearing on lists referenced in Iowa Code section </w:t>
      </w:r>
      <w:hyperlink r:id="rId13">
        <w:r>
          <w:rPr>
            <w:rStyle w:val="Hyperlink"/>
            <w:rFonts w:ascii="Times New Roman" w:hAnsi="Times New Roman"/>
            <w:b w:val="false"/>
            <w:i w:val="false"/>
            <w:color w:val="000000"/>
            <w:sz w:val="22"/>
          </w:rPr>
          <w:t>481B.5</w:t>
        </w:r>
      </w:hyperlink>
      <w:r>
        <w:rPr>
          <w:rFonts w:ascii="Times New Roman" w:hAnsi="Times New Roman"/>
          <w:b w:val="false"/>
          <w:i w:val="false"/>
          <w:color w:val="000000"/>
          <w:sz w:val="22"/>
        </w:rPr>
        <w:t xml:space="preserve">, unless the permittee meets one of the exemptions enumerated in rule </w:t>
      </w:r>
      <w:hyperlink r:id="rId14">
        <w:r>
          <w:rPr>
            <w:rStyle w:val="Hyperlink"/>
            <w:rFonts w:ascii="Times New Roman" w:hAnsi="Times New Roman"/>
            <w:b w:val="false"/>
            <w:i w:val="false"/>
            <w:color w:val="000000"/>
            <w:sz w:val="22"/>
          </w:rPr>
          <w:t>571—77.4</w:t>
        </w:r>
      </w:hyperlink>
      <w:r>
        <w:rPr>
          <w:rFonts w:ascii="Times New Roman" w:hAnsi="Times New Roman"/>
          <w:b w:val="false"/>
          <w:i w:val="false"/>
          <w:color w:val="000000"/>
          <w:sz w:val="22"/>
        </w:rPr>
        <w:t>(481B).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not received floodplain permits pursuant to Iowa Code chapter </w:t>
      </w:r>
      <w:hyperlink r:id="rId1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567—Chapters 70 through 76</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impact a littoral or riparian property owner without the express written permission of the littoral or riparian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Do not comply with the review standards defined in rule </w:t>
      </w:r>
      <w:hyperlink r:id="rId17">
        <w:r>
          <w:rPr>
            <w:rStyle w:val="Hyperlink"/>
            <w:rFonts w:ascii="Times New Roman" w:hAnsi="Times New Roman"/>
            <w:b w:val="false"/>
            <w:i w:val="false"/>
            <w:color w:val="000000"/>
            <w:sz w:val="22"/>
          </w:rPr>
          <w:t>571—13.7</w:t>
        </w:r>
      </w:hyperlink>
      <w:r>
        <w:rPr>
          <w:rFonts w:ascii="Times New Roman" w:hAnsi="Times New Roman"/>
          <w:b w:val="false"/>
          <w:i w:val="false"/>
          <w:color w:val="000000"/>
          <w:sz w:val="22"/>
        </w:rPr>
        <w:t>(455A,461A,462A).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Interfere with department obligations or limitations related to federal funds or agreements or other restrictive covenants that may be applicable to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Allow fill to be placed beyond the OHWM of waters described in rule </w:t>
      </w:r>
      <w:hyperlink r:id="rId18">
        <w:r>
          <w:rPr>
            <w:rStyle w:val="Hyperlink"/>
            <w:rFonts w:ascii="Times New Roman" w:hAnsi="Times New Roman"/>
            <w:b w:val="false"/>
            <w:i w:val="false"/>
            <w:color w:val="000000"/>
            <w:sz w:val="22"/>
          </w:rPr>
          <w:t>571—13.2</w:t>
        </w:r>
      </w:hyperlink>
      <w:r>
        <w:rPr>
          <w:rFonts w:ascii="Times New Roman" w:hAnsi="Times New Roman"/>
          <w:b w:val="false"/>
          <w:i w:val="false"/>
          <w:color w:val="000000"/>
          <w:sz w:val="22"/>
        </w:rPr>
        <w:t>(455A,461A,462A) for purposes of regaining land lost due to erosion.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The department may withhold a permit when the applicant has not obtained all other required permits or licenses necessary to construct and operate the proposed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571—13.7</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Review standards. </w:t>
      </w:r>
      <w:r>
        <w:rPr>
          <w:rFonts w:ascii="Times New Roman" w:hAnsi="Times New Roman"/>
          <w:b w:val="false"/>
          <w:i w:val="false"/>
          <w:color w:val="000000"/>
          <w:sz w:val="22"/>
        </w:rPr>
        <w:t>Department staff shall conduct an environmental review of the application. In completing the environmental review, different bureaus and staff members of the department will provide input based on law, professional judgment, data and accepted scientific theory. The following standards shall apply to permits issued under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Uses of public lands and waters. </w:t>
      </w:r>
      <w:r>
        <w:rPr>
          <w:rFonts w:ascii="Times New Roman" w:hAnsi="Times New Roman"/>
          <w:b w:val="false"/>
          <w:i w:val="false"/>
          <w:color w:val="000000"/>
          <w:sz w:val="22"/>
        </w:rPr>
        <w:t>Development of public lands and public waters permitted by these rules shall be limited to projects that meet all of the following criteria. The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built to minimally impact the natural resources of public recreational use and navigation on such lands and waters. Specifically, applicants must demonstrate that the project accomplishes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negatively impact water quality in or around the proposed permitted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Minimizes erosion and sedimentation in or around the proposed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Minimizes detrimental impacts to biological and botanical resources in or around the proposed area, including upland, wetland and sensitive areas and unique community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Complies with laws and regulations related to threatened and endangered species, through both federal and state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Utilize the smallest amount of public lands and public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 not convert the public lands and public waters to an exclusive or private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the only viable method for conducting the activities, and no viable alternatives to constructing on public lands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Shoreline erosion protection and retaining walls. </w:t>
      </w:r>
      <w:r>
        <w:rPr>
          <w:rFonts w:ascii="Times New Roman" w:hAnsi="Times New Roman"/>
          <w:b w:val="false"/>
          <w:i w:val="false"/>
          <w:color w:val="000000"/>
          <w:sz w:val="22"/>
        </w:rPr>
        <w:t xml:space="preserve">Shoreline erosion protection activities may be permitted if the activities are in compliance with rule </w:t>
      </w:r>
      <w:hyperlink r:id="rId19">
        <w:r>
          <w:rPr>
            <w:rStyle w:val="Hyperlink"/>
            <w:rFonts w:ascii="Times New Roman" w:hAnsi="Times New Roman"/>
            <w:b w:val="false"/>
            <w:i w:val="false"/>
            <w:color w:val="000000"/>
            <w:sz w:val="22"/>
          </w:rPr>
          <w:t>571—13.6</w:t>
        </w:r>
      </w:hyperlink>
      <w:r>
        <w:rPr>
          <w:rFonts w:ascii="Times New Roman" w:hAnsi="Times New Roman"/>
          <w:b w:val="false"/>
          <w:i w:val="false"/>
          <w:color w:val="000000"/>
          <w:sz w:val="22"/>
        </w:rPr>
        <w:t>(455A,461A,462A) and the following additional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Shoreline erosion protection activities on meandered sovereign lakes shall be limited to placement of native stone riprap, extending to a maximum of four feet horizontally within or below the elevation contour line of the OHWM. Placement of earth fill within the OHWM shall not be allowed. Retaining walls, sheet piling, gabions or other retaining structures shall be placed above the OHWM. When such retaining structures are placed at the OHWM, they must be faced with native stone riprap.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Shoreline erosion protection activities on meandered sovereign rivers, except the Mississippi River, shall be limited to placement of approved in-stream erosion control structures or native stone or standard riprap. Riprap shall extend riverward from the OHWM and may not exceed a slope of two feet horizontal to one foot vertical (2:1). Placement of earth fill below the OHWM shall not be allowed. Retaining walls, sheet piling, gabions or other retaining structures shall not be placed within the OHWM. When such retaining structures are placed at the OHWM, they must be faced with riprap.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Shoreline erosion protection activities on the Mississippi River shall be limited to placement of approved in-stream erosion control structures or native stone riprap. Riprap shall extend riverward from the OHWM and may not exceed a slope of two feet horizontal to one foot vertical (2:1). Placement of earth fill within the OHWM shall not be allowed. Retaining walls, sheet piling, gabions or other retaining structures shall not be placed within the OHWM. When such retaining structures are placed at the OHWM, they must be faced with native stone riprap.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Retaining walls on all meandered sovereign lakes and meandered sovereign rivers. The landowner shall maintain the wall system at all times and take corrective measures to eliminate any nuisance condition, repair deterioration of the structure, eliminate erosion around the structure, and repair damage to the structure caused by the action of the water or ice. When a retaining wall or other structure placed on the shoreline prevents the public from traversing the shoreline, the landowner shall grant the public a license to walk from the landowner’s property within 15 feet of the top of the wall or structure for the purpose of traversing the shoreline.</w:t>
      </w:r>
    </w:p>
    <w:p>
      <w:pPr>
        <w:spacing w:before="0" w:after="0"/>
        <w:ind w:left="120"/>
        <w:jc w:val="both"/>
      </w:pPr>
      <w:r>
        <w:rPr>
          <w:rFonts w:ascii="Times New Roman" w:hAnsi="Times New Roman"/>
          <w:b w:val="false"/>
          <w:i w:val="false"/>
          <w:color w:val="000000"/>
          <w:sz w:val="22"/>
        </w:rPr>
        <w:t>Notwithstanding the prohibitions in this subrule, nothing in this subrule shall prohibit activities that would be part of habitat development or natural resources mitigation projects constructed or approved by a political subdivision of the state and subject to review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Quality of the applicant. </w:t>
      </w:r>
      <w:r>
        <w:rPr>
          <w:rFonts w:ascii="Times New Roman" w:hAnsi="Times New Roman"/>
          <w:b w:val="false"/>
          <w:i w:val="false"/>
          <w:color w:val="000000"/>
          <w:sz w:val="22"/>
        </w:rPr>
        <w:t>Applicants or authorized agents who have a current violation for another project are not eligible for consideration for a permit under these rules unless and until all other noncompliant projects have been remediated and any enforcement actions related to the same have been resolved or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color w:val="000000"/>
          <w:sz w:val="22"/>
        </w:rPr>
        <w:t xml:space="preserve">Cantilever access structures. </w:t>
      </w:r>
      <w:r>
        <w:rPr>
          <w:rFonts w:ascii="Times New Roman" w:hAnsi="Times New Roman"/>
          <w:b w:val="false"/>
          <w:i w:val="false"/>
          <w:color w:val="000000"/>
          <w:sz w:val="22"/>
        </w:rPr>
        <w:t xml:space="preserve">Permanent cantilever access structures that lawfully existed and were lawfully permitted under prior sovereign lands construction permit rules as of April 15, 2009, shall be deemed lawfully permitted under these rules. All cantilever access structures that were not lawfully installed prior to April 15, 2009, or were installed after April 15, 2009, shall be regulated as docks by </w:t>
      </w:r>
      <w:hyperlink r:id="rId20">
        <w:r>
          <w:rPr>
            <w:rStyle w:val="Hyperlink"/>
            <w:rFonts w:ascii="Times New Roman" w:hAnsi="Times New Roman"/>
            <w:b w:val="false"/>
            <w:i w:val="false"/>
            <w:color w:val="000000"/>
            <w:sz w:val="22"/>
          </w:rPr>
          <w:t>571—Chapter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color w:val="000000"/>
          <w:sz w:val="22"/>
        </w:rPr>
        <w:t xml:space="preserve">Beaches, canals, commercial boat ramps, and channels. </w:t>
      </w:r>
      <w:r>
        <w:rPr>
          <w:rFonts w:ascii="Times New Roman" w:hAnsi="Times New Roman"/>
          <w:b w:val="false"/>
          <w:i w:val="false"/>
          <w:color w:val="000000"/>
          <w:sz w:val="22"/>
        </w:rPr>
        <w:t>Permits may be granted to maintain existing beaches, canals, and channels lawfully installed as of April 15, 2009, to ensure the navigation and safety of those existing lawful beaches, canals, and channels. The department shall not permit new beaches, canals, commercial boat ramps or artificial channels or expansion of existing beaches, canals, commercial boat ramps or artificial channels, except that the department may permit new beaches, canals, commercial boat ramps and artificial channels and expansions of existing beaches, canals, commercial boat ramps and artificial channels when such establishment or expansion would be under the jurisdiction of a political subdivision of the state, would be accomplished to provide public access to the water, and would meet the review standards established by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571—13.8</w:t>
      </w:r>
      <w:r>
        <w:rPr>
          <w:rFonts w:ascii="Times New Roman" w:hAnsi="Times New Roman"/>
          <w:b/>
          <w:i w:val="false"/>
          <w:color w:val="000000"/>
          <w:sz w:val="22"/>
        </w:rPr>
        <w:t xml:space="preserve">(455A,461A) </w:t>
      </w:r>
      <w:r>
        <w:rPr>
          <w:rFonts w:ascii="Times New Roman" w:hAnsi="Times New Roman"/>
          <w:b/>
          <w:i w:val="false"/>
          <w:color w:val="000000"/>
          <w:sz w:val="22"/>
        </w:rPr>
        <w:t xml:space="preserve">Leases or easements as a condition of permits. </w:t>
      </w:r>
      <w:r>
        <w:rPr>
          <w:rFonts w:ascii="Times New Roman" w:hAnsi="Times New Roman"/>
          <w:b w:val="false"/>
          <w:i w:val="false"/>
          <w:color w:val="000000"/>
          <w:sz w:val="22"/>
        </w:rPr>
        <w:t>If a permitted structure or its use will have a continuing impact on the availability or desirability of public lands or public waters, the permit shall be conditioned on the requirement that the permittee obtain a lease or easement under Division II of this chapter. However, a lease or easement shall not be required for proposed activities that are wholly within the scope of the permittee’s littoral or riparian rights.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571—13.9</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Permit application. </w:t>
      </w:r>
      <w:r>
        <w:rPr>
          <w:rFonts w:ascii="Times New Roman" w:hAnsi="Times New Roman"/>
          <w:b w:val="false"/>
          <w:i w:val="false"/>
          <w:color w:val="000000"/>
          <w:sz w:val="22"/>
        </w:rPr>
        <w:t xml:space="preserve">Applicants shall apply for permits using an application form provided by the department. Permit application resources can be found on the Permit and Environmental Review Management Tool (PERMT) at </w:t>
      </w:r>
      <w:hyperlink r:id="rId21">
        <w:r>
          <w:rPr>
            <w:rStyle w:val="Hyperlink"/>
            <w:rFonts w:ascii="Times New Roman" w:hAnsi="Times New Roman"/>
            <w:b w:val="false"/>
            <w:i w:val="false"/>
            <w:color w:val="000000"/>
            <w:sz w:val="22"/>
            <w:u w:val="single"/>
          </w:rPr>
          <w:t>programs.iowadnr.gov/permt/</w:t>
        </w:r>
      </w:hyperlink>
      <w:r>
        <w:rPr>
          <w:rFonts w:ascii="Times New Roman" w:hAnsi="Times New Roman"/>
          <w:b w:val="false"/>
          <w:i w:val="false"/>
          <w:color w:val="000000"/>
          <w:sz w:val="22"/>
        </w:rPr>
        <w:t>. Applicants shall state the need for the proposed construction or use, the availability of alternatives, and the measures proposed to prevent, minimize or mitigate adverse impacts to natural resources or public use of the affected area. The department reserves the right to refuse to review incomplete applications. Each application, including all amendments, shall be signed by the applicant and authorized agent if one shall be so appointed by the applicant. The applicant’s signature shall acknowledge that the application is accurate and made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department will deem an application complete if the application meets all of the following criteria.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provided on the department’s form, and all fields are completed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the name(s), mailing address and telephone number of the applicant(s) and authorized agent(s),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Describes the proposed activity,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address and legal description of the location where the proposed activity is to occur; a written description of existing natural and man-made structures and features; an aerial photograph, if possible or available; and a ground-level photograph(s) showing the area where the activity is proposed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Schematic or design plans, including cross sections and plan views, that accurately and clearly depict the proposed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 of the construction methods used to complete the project, the methods used to transport material to the site, and the type and amount of material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 of measures proposed to prevent or minimize adverse impacts on the property in the proposed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any borrows or disposal sites, including the location of any borrows or disposal sites and the type and amount of material to be borrowed or disposed of in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Includes identification of the OHWM, if the proposed activities are in or near a meandered sovereign lake or meandered sovereign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Describes alternative plans to undertake the activity that may be available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Identifies the need for the proposed activity in the proposed project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Provides a statement of consent for the department to enter the property during the term of the proposed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For applications that provide for an authorized agent to perform part or all of the proposed activities, the following additional information shall be required to constitute a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 signed by the authorized agent and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 signed by the authorized agent acknowledging that the authorized agent is aware of such designation and is responsible to complete the identified 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Description of the work to be completed by the authorized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571—13.10</w:t>
      </w:r>
      <w:r>
        <w:rPr>
          <w:rFonts w:ascii="Times New Roman" w:hAnsi="Times New Roman"/>
          <w:b/>
          <w:i w:val="false"/>
          <w:color w:val="000000"/>
          <w:sz w:val="22"/>
        </w:rPr>
        <w:t xml:space="preserve">(455A,461A) </w:t>
      </w:r>
      <w:r>
        <w:rPr>
          <w:rFonts w:ascii="Times New Roman" w:hAnsi="Times New Roman"/>
          <w:b/>
          <w:i w:val="false"/>
          <w:color w:val="000000"/>
          <w:sz w:val="22"/>
        </w:rPr>
        <w:t xml:space="preserve">Additional information or analysis required for permit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an applicant to provide additional information, at the applicant’s sole cost, necessary to complete review of the application, including but not limited to study of alternatives to construction on public lands and waters, social and environmental impacts of the proposed activities, professional surveys to establish the social and environmental impacts of the proposed activities, professional land surveys to delineate or show real property boundaries and other characteristics, and a professional real estate appraisal of the value that a permit may convey.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val="false"/>
          <w:color w:val="000000"/>
          <w:sz w:val="22"/>
        </w:rPr>
        <w:t>If the applicant does not respond to a request for additional information within 90 days of such request being made by the department, the department may withdraw the application from consideration and the applicant must reapply for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13.10(3)</w:t>
      </w:r>
      <w:r>
        <w:rPr>
          <w:rFonts w:ascii="Times New Roman" w:hAnsi="Times New Roman"/>
          <w:b w:val="false"/>
          <w:i w:val="false"/>
          <w:color w:val="000000"/>
          <w:sz w:val="22"/>
        </w:rPr>
        <w:t> </w:t>
      </w:r>
      <w:r>
        <w:rPr>
          <w:rFonts w:ascii="Times New Roman" w:hAnsi="Times New Roman"/>
          <w:b w:val="false"/>
          <w:i w:val="false"/>
          <w:color w:val="000000"/>
          <w:sz w:val="22"/>
        </w:rPr>
        <w:t>When the director determines that the proposed activity will significantly affect the public interest, the director may hold a public meeting in the vicinity of the proposed activity. When a public meeting is held, the director shall consider public input in conjunction with other information collected or provided as part of the application review when acting on a permit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571—13.11</w:t>
      </w:r>
      <w:r>
        <w:rPr>
          <w:rFonts w:ascii="Times New Roman" w:hAnsi="Times New Roman"/>
          <w:b/>
          <w:i w:val="false"/>
          <w:color w:val="000000"/>
          <w:sz w:val="22"/>
        </w:rPr>
        <w:t xml:space="preserve">(455A,461A) </w:t>
      </w:r>
      <w:r>
        <w:rPr>
          <w:rFonts w:ascii="Times New Roman" w:hAnsi="Times New Roman"/>
          <w:b/>
          <w:i w:val="false"/>
          <w:color w:val="000000"/>
          <w:sz w:val="22"/>
        </w:rPr>
        <w:t xml:space="preserve">Permit issued or denied. </w:t>
      </w:r>
      <w:r>
        <w:rPr>
          <w:rFonts w:ascii="Times New Roman" w:hAnsi="Times New Roman"/>
          <w:b w:val="false"/>
          <w:i w:val="false"/>
          <w:color w:val="000000"/>
          <w:sz w:val="22"/>
        </w:rPr>
        <w:t xml:space="preserve">The department shall promptly review all permit applications, and the director shall issue a permit or deny all or part of an application upon completion of review. A permit may include specified conditions denying the application in part and the reasons for the conditions. The denial of a permit may include a proposed removal order. A permit denial shall be final agency action, unless the unsuccessful applicant otherwise has a constitutional right to a contested case, in which case an administrative appeal pursuant to procedures in </w:t>
      </w:r>
      <w:hyperlink r:id="rId22">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shall be available. The unsuccessful applicant’s request for a contested case may include a request for a waiver under the provisions of Iowa Code section </w:t>
      </w:r>
      <w:hyperlink r:id="rId23">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571—Chapter 11</w:t>
        </w:r>
      </w:hyperlink>
      <w:r>
        <w:rPr>
          <w:rFonts w:ascii="Times New Roman" w:hAnsi="Times New Roman"/>
          <w:b w:val="false"/>
          <w:i w:val="false"/>
          <w:color w:val="000000"/>
          <w:sz w:val="22"/>
        </w:rPr>
        <w:t>. The decision of the presiding officer in a contested case shall constitute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571—13.12</w:t>
      </w:r>
      <w:r>
        <w:rPr>
          <w:rFonts w:ascii="Times New Roman" w:hAnsi="Times New Roman"/>
          <w:b/>
          <w:i w:val="false"/>
          <w:color w:val="000000"/>
          <w:sz w:val="22"/>
        </w:rPr>
        <w:t xml:space="preserve">(455A,461A) </w:t>
      </w:r>
      <w:r>
        <w:rPr>
          <w:rFonts w:ascii="Times New Roman" w:hAnsi="Times New Roman"/>
          <w:b/>
          <w:i w:val="false"/>
          <w:color w:val="000000"/>
          <w:sz w:val="22"/>
        </w:rPr>
        <w:t xml:space="preserve">Authorized agent. </w:t>
      </w:r>
      <w:r>
        <w:rPr>
          <w:rFonts w:ascii="Times New Roman" w:hAnsi="Times New Roman"/>
          <w:b w:val="false"/>
          <w:i w:val="false"/>
          <w:color w:val="000000"/>
          <w:sz w:val="22"/>
        </w:rPr>
        <w:t>When an authorized agent is designated on the application for a permit and acknowledges the same, that authorized agent shall be responsible in the same manner as the permittee to comply with the terms of the permit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571—13.13</w:t>
      </w:r>
      <w:r>
        <w:rPr>
          <w:rFonts w:ascii="Times New Roman" w:hAnsi="Times New Roman"/>
          <w:b/>
          <w:i w:val="false"/>
          <w:color w:val="000000"/>
          <w:sz w:val="22"/>
        </w:rPr>
        <w:t xml:space="preserve">(455A,461A) </w:t>
      </w:r>
      <w:r>
        <w:rPr>
          <w:rFonts w:ascii="Times New Roman" w:hAnsi="Times New Roman"/>
          <w:b/>
          <w:i w:val="false"/>
          <w:color w:val="000000"/>
          <w:sz w:val="22"/>
        </w:rPr>
        <w:t xml:space="preserve">Inspection. </w:t>
      </w:r>
      <w:r>
        <w:rPr>
          <w:rFonts w:ascii="Times New Roman" w:hAnsi="Times New Roman"/>
          <w:b w:val="false"/>
          <w:i w:val="false"/>
          <w:color w:val="000000"/>
          <w:sz w:val="22"/>
        </w:rPr>
        <w:t>The department may inspect the location during the term of the permit to ensure that the permitted activities comply with the terms of the permit. The permittee shall grant the department the right to access the permitted activities for purposes of inspecting the permitted activities during the term of the permit. If the permittee denies permission for entry, the department may obtain an order from the Iowa district court for the county in which the permitted activities or the majority of the permitted activities occur, as needed, to enable the department to carry out its inspection duty. The intent of the inspection is to evaluate compliance with permit conditions and the impact to the natural resources and the public’s recreational use of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571—13.14</w:t>
      </w:r>
      <w:r>
        <w:rPr>
          <w:rFonts w:ascii="Times New Roman" w:hAnsi="Times New Roman"/>
          <w:b/>
          <w:i w:val="false"/>
          <w:color w:val="000000"/>
          <w:sz w:val="22"/>
        </w:rPr>
        <w:t xml:space="preserve">(455A,461A) </w:t>
      </w:r>
      <w:r>
        <w:rPr>
          <w:rFonts w:ascii="Times New Roman" w:hAnsi="Times New Roman"/>
          <w:b/>
          <w:i w:val="false"/>
          <w:color w:val="000000"/>
          <w:sz w:val="22"/>
        </w:rPr>
        <w:t xml:space="preserve">Additional information or analysis required during term of the permit. </w:t>
      </w:r>
      <w:r>
        <w:rPr>
          <w:rFonts w:ascii="Times New Roman" w:hAnsi="Times New Roman"/>
          <w:b w:val="false"/>
          <w:i w:val="false"/>
          <w:color w:val="000000"/>
          <w:sz w:val="22"/>
        </w:rPr>
        <w:t>The director may require a permittee to provide additional information, at the permittee’s sole cost, necessary to ensure that the permittee is complying with the terms of the permit, including but not limited to social and environmental impacts of the activities, professional surveys to establish the social and environmental impacts of the activities, professional land surveys to delineate or show real property boundaries and other characteristics, and a professional real estate appraisal of the value that a permit may convey or has conveyed.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571—13.15</w:t>
      </w:r>
      <w:r>
        <w:rPr>
          <w:rFonts w:ascii="Times New Roman" w:hAnsi="Times New Roman"/>
          <w:b/>
          <w:i w:val="false"/>
          <w:color w:val="000000"/>
          <w:sz w:val="22"/>
        </w:rPr>
        <w:t xml:space="preserve">(455A,461A) </w:t>
      </w:r>
      <w:r>
        <w:rPr>
          <w:rFonts w:ascii="Times New Roman" w:hAnsi="Times New Roman"/>
          <w:b/>
          <w:i w:val="false"/>
          <w:color w:val="000000"/>
          <w:sz w:val="22"/>
        </w:rPr>
        <w:t xml:space="preserve">Violations; types of enforcement actions; citation and 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be in violation of these rules and Iowa Code section </w:t>
      </w:r>
      <w:hyperlink r:id="rId25">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 xml:space="preserve"> in the event the person does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Performs construction on or undertakes other activities that alter the physical characteristics of public lands or waters under the jurisdiction of or managed by the commission without a permit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Performs such work out of conformance with specific requirements enumerated in a permit issued in accordance with these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Fails to comply with an order of the commission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day of a violation shall be considered a separate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Types of enforcement actions. </w:t>
      </w:r>
      <w:r>
        <w:rPr>
          <w:rFonts w:ascii="Times New Roman" w:hAnsi="Times New Roman"/>
          <w:b w:val="false"/>
          <w:i w:val="false"/>
          <w:color w:val="000000"/>
          <w:sz w:val="22"/>
        </w:rPr>
        <w:t>A person who violates these rules shall be subject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Criminal enforcement. </w:t>
      </w:r>
      <w:r>
        <w:rPr>
          <w:rFonts w:ascii="Times New Roman" w:hAnsi="Times New Roman"/>
          <w:b w:val="false"/>
          <w:i w:val="false"/>
          <w:color w:val="000000"/>
          <w:sz w:val="22"/>
        </w:rPr>
        <w:t>A peace officer of the state may issue a citation for each offense. A person who is found guilty of violating these rules shall be charged with a simple misdemeanor for each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Civil enforcement. </w:t>
      </w:r>
      <w:r>
        <w:rPr>
          <w:rFonts w:ascii="Times New Roman" w:hAnsi="Times New Roman"/>
          <w:b w:val="false"/>
          <w:i w:val="false"/>
          <w:color w:val="000000"/>
          <w:sz w:val="22"/>
        </w:rPr>
        <w:t xml:space="preserve">A civil penalty may be assessed in conformance with Iowa Code section </w:t>
      </w:r>
      <w:hyperlink r:id="rId26">
        <w:r>
          <w:rPr>
            <w:rStyle w:val="Hyperlink"/>
            <w:rFonts w:ascii="Times New Roman" w:hAnsi="Times New Roman"/>
            <w:b w:val="false"/>
            <w:i w:val="false"/>
            <w:color w:val="000000"/>
            <w:sz w:val="22"/>
          </w:rPr>
          <w:t>461A.5B</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571—13.17</w:t>
        </w:r>
      </w:hyperlink>
      <w:r>
        <w:rPr>
          <w:rFonts w:ascii="Times New Roman" w:hAnsi="Times New Roman"/>
          <w:b w:val="false"/>
          <w:i w:val="false"/>
          <w:color w:val="000000"/>
          <w:sz w:val="22"/>
        </w:rPr>
        <w:t xml:space="preserve">(455A,461A). Written notice of the violation(s) shall be given to the person against whom disciplinary action is being considered. The notice shall state the informal and formal procedures available for determining the matter. If agreement as to appropriate disciplinary sanction, if any, can be reached between the director and the person against whom disciplinary action is being considered, a written stipulation and settlement between the department and the person shall be entered. Such a settlement shall take into account how the corrective actions described in subrule </w:t>
      </w:r>
      <w:hyperlink r:id="rId28">
        <w:r>
          <w:rPr>
            <w:rStyle w:val="Hyperlink"/>
            <w:rFonts w:ascii="Times New Roman" w:hAnsi="Times New Roman"/>
            <w:b w:val="false"/>
            <w:i w:val="false"/>
            <w:color w:val="000000"/>
            <w:sz w:val="22"/>
          </w:rPr>
          <w:t>13.15(3)</w:t>
        </w:r>
      </w:hyperlink>
      <w:r>
        <w:rPr>
          <w:rFonts w:ascii="Times New Roman" w:hAnsi="Times New Roman"/>
          <w:b w:val="false"/>
          <w:i w:val="false"/>
          <w:color w:val="000000"/>
          <w:sz w:val="22"/>
        </w:rPr>
        <w:t xml:space="preserve"> shall be accomplished. In addition, the stipulation and settlement shall recite the basic facts and violations alleged, any facts brought forth by the person, and the reasons for the particular sanctions imposed. If an agreement as to appropriate disciplinary action, if any, cannot be reached, the director may issue an administrative order as described in rule </w:t>
      </w:r>
      <w:hyperlink r:id="rId29">
        <w:r>
          <w:rPr>
            <w:rStyle w:val="Hyperlink"/>
            <w:rFonts w:ascii="Times New Roman" w:hAnsi="Times New Roman"/>
            <w:b w:val="false"/>
            <w:i w:val="false"/>
            <w:color w:val="000000"/>
            <w:sz w:val="22"/>
          </w:rPr>
          <w:t>571—13.17</w:t>
        </w:r>
      </w:hyperlink>
      <w:r>
        <w:rPr>
          <w:rFonts w:ascii="Times New Roman" w:hAnsi="Times New Roman"/>
          <w:b w:val="false"/>
          <w:i w:val="false"/>
          <w:color w:val="000000"/>
          <w:sz w:val="22"/>
        </w:rPr>
        <w:t>(455A,461A).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13.15(3)</w:t>
      </w:r>
      <w:r>
        <w:rPr>
          <w:rFonts w:ascii="Times New Roman" w:hAnsi="Times New Roman"/>
          <w:b w:val="false"/>
          <w:i w:val="false"/>
          <w:color w:val="000000"/>
          <w:sz w:val="22"/>
        </w:rPr>
        <w:t> </w:t>
      </w:r>
      <w:r>
        <w:rPr>
          <w:rFonts w:ascii="Times New Roman" w:hAnsi="Times New Roman"/>
          <w:b w:val="false"/>
          <w:i/>
          <w:color w:val="000000"/>
          <w:sz w:val="22"/>
        </w:rPr>
        <w:t xml:space="preserve">Actions to be taken upon receipt of citation or notice of violation. </w:t>
      </w:r>
      <w:r>
        <w:rPr>
          <w:rFonts w:ascii="Times New Roman" w:hAnsi="Times New Roman"/>
          <w:b w:val="false"/>
          <w:i w:val="false"/>
          <w:color w:val="000000"/>
          <w:sz w:val="22"/>
        </w:rPr>
        <w:t>A person who has violated these rules shall cease the specified unauthorized activity upon receipt of a citation or as may be stipulated in the notice of violation. The notice of violation or a written notice accompanying the citation from the department shall require the person to take one or more of the following actions within a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permit to authorize completion of construction or maintenance and use,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Remove materials and restore the affected area to the condition that existed before commencement of the unauthorized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Remediate the affected area in a manner and according to a plan approved by the department. The department may enforce such a remediation at the expense of the permittee, adjacent landowner or culpable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571—13.16</w:t>
      </w:r>
      <w:r>
        <w:rPr>
          <w:rFonts w:ascii="Times New Roman" w:hAnsi="Times New Roman"/>
          <w:b/>
          <w:i w:val="false"/>
          <w:color w:val="000000"/>
          <w:sz w:val="22"/>
        </w:rPr>
        <w:t xml:space="preserve">(455A,461A) </w:t>
      </w:r>
      <w:r>
        <w:rPr>
          <w:rFonts w:ascii="Times New Roman" w:hAnsi="Times New Roman"/>
          <w:b/>
          <w:i w:val="false"/>
          <w:color w:val="000000"/>
          <w:sz w:val="22"/>
        </w:rPr>
        <w:t xml:space="preserve">Removal orders. </w:t>
      </w:r>
      <w:r>
        <w:rPr>
          <w:rFonts w:ascii="Times New Roman" w:hAnsi="Times New Roman"/>
          <w:b w:val="false"/>
          <w:i w:val="false"/>
          <w:color w:val="000000"/>
          <w:sz w:val="22"/>
        </w:rPr>
        <w:t xml:space="preserve">If the violation includes the unauthorized placement of materials or personal property on the public lands or public waters under the jurisdiction of the commission, and the person, who may include a permittee or authorized agent but may not, fails to comply with the action required by the notice, the director may cause a proposed removal order to be issued to the person responsible for such placement. The proposed removal order shall specify the removal action required and include notice of the right to an administrative appeal including a contested case hearing under procedures in </w:t>
      </w:r>
      <w:hyperlink r:id="rId30">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The proposed decision in a contested case may be appealed to the commission under </w:t>
      </w:r>
      <w:hyperlink r:id="rId31">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If there is no appeal from a proposed decision that includes a removal requirement, the proposed decision shall be presented to the director for review and adoption. A removal order approved by the director shall constitute final agency action under Iowa Code sections </w:t>
      </w:r>
      <w:hyperlink r:id="rId32">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461A.5A</w:t>
        </w:r>
      </w:hyperlink>
      <w:r>
        <w:rPr>
          <w:rFonts w:ascii="Times New Roman" w:hAnsi="Times New Roman"/>
          <w:b w:val="false"/>
          <w:i w:val="false"/>
          <w:color w:val="000000"/>
          <w:sz w:val="22"/>
        </w:rPr>
        <w:t xml:space="preserve"> and may be enforced through an original action in equity filed in a district court of the state by the attorney general on behalf of the department and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571—13.17</w:t>
      </w:r>
      <w:r>
        <w:rPr>
          <w:rFonts w:ascii="Times New Roman" w:hAnsi="Times New Roman"/>
          <w:b/>
          <w:i w:val="false"/>
          <w:color w:val="000000"/>
          <w:sz w:val="22"/>
        </w:rPr>
        <w:t xml:space="preserve">(455A,461A)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 xml:space="preserve">The department may assess a civil penalty of up to $5,000 per offense for each violation of these rules, provided the department does not utilize a criminal citation for a violation. Each day the violation continues shall be a separate offense or violation. Penalties shall be assessed through issuance of an administrative order of the director which recites the facts and the legal requirements that have been violated and a general rationale for the prescribed fines. The order also may be combined with any other order authorized by statute for mandatory or prohibitory injunctive conditions and is subject to normal contested case and appellate review under procedures in </w:t>
      </w:r>
      <w:hyperlink r:id="rId34">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The proposed decision in a contested case may be appealed to the commission under </w:t>
      </w:r>
      <w:hyperlink r:id="rId35">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The commission may refer orders that include singular or cumulative penalties over $10,000 to the attorney general’s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571—13.18</w:t>
      </w:r>
      <w:r>
        <w:rPr>
          <w:rFonts w:ascii="Times New Roman" w:hAnsi="Times New Roman"/>
          <w:b/>
          <w:i w:val="false"/>
          <w:color w:val="000000"/>
          <w:sz w:val="22"/>
        </w:rPr>
        <w:t xml:space="preserve">(455A,461A) </w:t>
      </w:r>
      <w:r>
        <w:rPr>
          <w:rFonts w:ascii="Times New Roman" w:hAnsi="Times New Roman"/>
          <w:b/>
          <w:i w:val="false"/>
          <w:color w:val="000000"/>
          <w:sz w:val="22"/>
        </w:rPr>
        <w:t xml:space="preserve">Report of completion. </w:t>
      </w:r>
      <w:r>
        <w:rPr>
          <w:rFonts w:ascii="Times New Roman" w:hAnsi="Times New Roman"/>
          <w:b w:val="false"/>
          <w:i w:val="false"/>
          <w:color w:val="000000"/>
          <w:sz w:val="22"/>
        </w:rPr>
        <w:t>Once an approved activity is completed, the permittee shall notify the department through PERMT using the project’s PERMT identification number created through the original application process. The activity shall be subject to final approval before the department determines that the conditions of the permit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571—13.19</w:t>
      </w:r>
      <w:r>
        <w:rPr>
          <w:rFonts w:ascii="Times New Roman" w:hAnsi="Times New Roman"/>
          <w:b/>
          <w:i w:val="false"/>
          <w:color w:val="000000"/>
          <w:sz w:val="22"/>
        </w:rPr>
        <w:t xml:space="preserve">(455A,461A) </w:t>
      </w:r>
      <w:r>
        <w:rPr>
          <w:rFonts w:ascii="Times New Roman" w:hAnsi="Times New Roman"/>
          <w:b/>
          <w:i w:val="false"/>
          <w:color w:val="000000"/>
          <w:sz w:val="22"/>
        </w:rPr>
        <w:t xml:space="preserve">Final inspection. </w:t>
      </w:r>
      <w:r>
        <w:rPr>
          <w:rFonts w:ascii="Times New Roman" w:hAnsi="Times New Roman"/>
          <w:b w:val="false"/>
          <w:i w:val="false"/>
          <w:color w:val="000000"/>
          <w:sz w:val="22"/>
        </w:rPr>
        <w:t xml:space="preserve">Once the permittee notifies the department pursuant to rule </w:t>
      </w:r>
      <w:hyperlink r:id="rId36">
        <w:r>
          <w:rPr>
            <w:rStyle w:val="Hyperlink"/>
            <w:rFonts w:ascii="Times New Roman" w:hAnsi="Times New Roman"/>
            <w:b w:val="false"/>
            <w:i w:val="false"/>
            <w:color w:val="000000"/>
            <w:sz w:val="22"/>
          </w:rPr>
          <w:t>571—13.18</w:t>
        </w:r>
      </w:hyperlink>
      <w:r>
        <w:rPr>
          <w:rFonts w:ascii="Times New Roman" w:hAnsi="Times New Roman"/>
          <w:b w:val="false"/>
          <w:i w:val="false"/>
          <w:color w:val="000000"/>
          <w:sz w:val="22"/>
        </w:rPr>
        <w:t xml:space="preserve">(455A,461A), the department shall inspect the permitted area to ensure that the permittee has complied with the terms of the permit. Such inspection shall occur within 60 days of the department’s receipt of the notice provided pursuant to rule </w:t>
      </w:r>
      <w:hyperlink r:id="rId37">
        <w:r>
          <w:rPr>
            <w:rStyle w:val="Hyperlink"/>
            <w:rFonts w:ascii="Times New Roman" w:hAnsi="Times New Roman"/>
            <w:b w:val="false"/>
            <w:i w:val="false"/>
            <w:color w:val="000000"/>
            <w:sz w:val="22"/>
          </w:rPr>
          <w:t>571—13.18</w:t>
        </w:r>
      </w:hyperlink>
      <w:r>
        <w:rPr>
          <w:rFonts w:ascii="Times New Roman" w:hAnsi="Times New Roman"/>
          <w:b w:val="false"/>
          <w:i w:val="false"/>
          <w:color w:val="000000"/>
          <w:sz w:val="22"/>
        </w:rPr>
        <w:t xml:space="preserve">(455A,461A). In the event the department does not provide final inspection within 60 days of the department’s receipt of the notice provided pursuant to rule </w:t>
      </w:r>
      <w:hyperlink r:id="rId38">
        <w:r>
          <w:rPr>
            <w:rStyle w:val="Hyperlink"/>
            <w:rFonts w:ascii="Times New Roman" w:hAnsi="Times New Roman"/>
            <w:b w:val="false"/>
            <w:i w:val="false"/>
            <w:color w:val="000000"/>
            <w:sz w:val="22"/>
          </w:rPr>
          <w:t>571—13.18</w:t>
        </w:r>
      </w:hyperlink>
      <w:r>
        <w:rPr>
          <w:rFonts w:ascii="Times New Roman" w:hAnsi="Times New Roman"/>
          <w:b w:val="false"/>
          <w:i w:val="false"/>
          <w:color w:val="000000"/>
          <w:sz w:val="22"/>
        </w:rPr>
        <w:t>(455A,461A), the permittee shall be deemed compliant and the permit shall expire. The intent of this inspection is to evaluate compliance with permit conditions and the impacts to the natural resources and the public’s recreational use of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571—13.20</w:t>
      </w:r>
      <w:r>
        <w:rPr>
          <w:rFonts w:ascii="Times New Roman" w:hAnsi="Times New Roman"/>
          <w:b/>
          <w:i w:val="false"/>
          <w:color w:val="000000"/>
          <w:sz w:val="22"/>
        </w:rPr>
        <w:t xml:space="preserve">(455A,461A) </w:t>
      </w:r>
      <w:r>
        <w:rPr>
          <w:rFonts w:ascii="Times New Roman" w:hAnsi="Times New Roman"/>
          <w:b/>
          <w:i w:val="false"/>
          <w:color w:val="000000"/>
          <w:sz w:val="22"/>
        </w:rPr>
        <w:t xml:space="preserve">Permit extensions. </w:t>
      </w:r>
      <w:r>
        <w:rPr>
          <w:rFonts w:ascii="Times New Roman" w:hAnsi="Times New Roman"/>
          <w:b w:val="false"/>
          <w:i w:val="false"/>
          <w:color w:val="000000"/>
          <w:sz w:val="22"/>
        </w:rPr>
        <w:t>Prior to the expiration of a permit, a permittee or an authorized agent may submit a written request by email to the department for an extension of the permit. In evaluating whether to grant the extension, the department will consider the work completed, the work to be performed, the extent to which the permit extension is needed and the extent to which the permittee has made efforts to meet the obligations of the original permit. The department reserves the right to modify the conditions of a permit as part of any extension. An extension granted by this rule is not a project modification.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571—13.21</w:t>
      </w:r>
      <w:r>
        <w:rPr>
          <w:rFonts w:ascii="Times New Roman" w:hAnsi="Times New Roman"/>
          <w:b/>
          <w:i w:val="false"/>
          <w:color w:val="000000"/>
          <w:sz w:val="22"/>
        </w:rPr>
        <w:t xml:space="preserve">(455A,461A) </w:t>
      </w:r>
      <w:r>
        <w:rPr>
          <w:rFonts w:ascii="Times New Roman" w:hAnsi="Times New Roman"/>
          <w:b/>
          <w:i w:val="false"/>
          <w:color w:val="000000"/>
          <w:sz w:val="22"/>
        </w:rPr>
        <w:t xml:space="preserve">Project modifications. </w:t>
      </w:r>
      <w:r>
        <w:rPr>
          <w:rFonts w:ascii="Times New Roman" w:hAnsi="Times New Roman"/>
          <w:b w:val="false"/>
          <w:i w:val="false"/>
          <w:color w:val="000000"/>
          <w:sz w:val="22"/>
        </w:rPr>
        <w:t>If projects are modified to the extent that the additional or modified work would not be allowed within the original permit, the permittee must apply for a new permit for the additional or modified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571—13.22</w:t>
      </w:r>
      <w:r>
        <w:rPr>
          <w:rFonts w:ascii="Times New Roman" w:hAnsi="Times New Roman"/>
          <w:b/>
          <w:i w:val="false"/>
          <w:color w:val="000000"/>
          <w:sz w:val="22"/>
        </w:rPr>
        <w:t xml:space="preserve">(455A,461A) </w:t>
      </w:r>
      <w:r>
        <w:rPr>
          <w:rFonts w:ascii="Times New Roman" w:hAnsi="Times New Roman"/>
          <w:b/>
          <w:i w:val="false"/>
          <w:color w:val="000000"/>
          <w:sz w:val="22"/>
        </w:rPr>
        <w:t xml:space="preserve">Transferability. </w:t>
      </w:r>
      <w:r>
        <w:rPr>
          <w:rFonts w:ascii="Times New Roman" w:hAnsi="Times New Roman"/>
          <w:b w:val="false"/>
          <w:i w:val="false"/>
          <w:color w:val="000000"/>
          <w:sz w:val="22"/>
        </w:rPr>
        <w:t xml:space="preserve">Permits are transferable only upon written approval of the department and only after the department is satisfied that the permitted activities will not change and the new permittee would be eligible to receive a permit under subrule </w:t>
      </w:r>
      <w:hyperlink r:id="rId39">
        <w:r>
          <w:rPr>
            <w:rStyle w:val="Hyperlink"/>
            <w:rFonts w:ascii="Times New Roman" w:hAnsi="Times New Roman"/>
            <w:b w:val="false"/>
            <w:i w:val="false"/>
            <w:color w:val="000000"/>
            <w:sz w:val="22"/>
          </w:rPr>
          <w:t>13.7(3)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571—13.23</w:t>
      </w:r>
      <w:r>
        <w:rPr>
          <w:rFonts w:ascii="Times New Roman" w:hAnsi="Times New Roman"/>
          <w:b w:val="false"/>
          <w:i w:val="false"/>
          <w:color w:val="000000"/>
          <w:sz w:val="22"/>
        </w:rPr>
        <w:t xml:space="preserve"> to </w:t>
      </w:r>
      <w:r>
        <w:rPr>
          <w:rFonts w:ascii="Times New Roman" w:hAnsi="Times New Roman"/>
          <w:b/>
          <w:i w:val="false"/>
          <w:color w:val="000000"/>
          <w:sz w:val="22"/>
        </w:rPr>
        <w:t>13.50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LEASES AND EASEMENTS</w:t>
      </w:r>
    </w:p>
    <w:p>
      <w:pPr>
        <w:spacing w:before="0" w:after="0"/>
        <w:ind w:left="120"/>
        <w:jc w:val="both"/>
      </w:pPr>
      <w:r>
        <w:rPr>
          <w:rFonts w:ascii="Times New Roman" w:hAnsi="Times New Roman"/>
          <w:b/>
          <w:i w:val="false"/>
          <w:color w:val="000000"/>
          <w:sz w:val="22"/>
        </w:rPr>
        <w:t>571—13.51</w:t>
      </w:r>
      <w:r>
        <w:rPr>
          <w:rFonts w:ascii="Times New Roman" w:hAnsi="Times New Roman"/>
          <w:b/>
          <w:i w:val="false"/>
          <w:color w:val="000000"/>
          <w:sz w:val="22"/>
        </w:rPr>
        <w:t xml:space="preserve">(455A,461A) </w:t>
      </w:r>
      <w:r>
        <w:rPr>
          <w:rFonts w:ascii="Times New Roman" w:hAnsi="Times New Roman"/>
          <w:b/>
          <w:i w:val="false"/>
          <w:color w:val="000000"/>
          <w:sz w:val="22"/>
        </w:rPr>
        <w:t xml:space="preserve">Leases. </w:t>
      </w:r>
      <w:r>
        <w:rPr>
          <w:rFonts w:ascii="Times New Roman" w:hAnsi="Times New Roman"/>
          <w:b w:val="false"/>
          <w:i w:val="false"/>
          <w:color w:val="000000"/>
          <w:sz w:val="22"/>
        </w:rPr>
        <w:t xml:space="preserve">Where a permitted structure or related activity will have a continuing impact on the availability or desirability of public lands or public waters or exceeds the scope of littoral or riparian rights, the permittee must enter into a lease covering the area affected by the construction. Fees for leases shall be determined by </w:t>
      </w:r>
      <w:hyperlink r:id="rId40">
        <w:r>
          <w:rPr>
            <w:rStyle w:val="Hyperlink"/>
            <w:rFonts w:ascii="Times New Roman" w:hAnsi="Times New Roman"/>
            <w:b w:val="false"/>
            <w:i w:val="false"/>
            <w:color w:val="000000"/>
            <w:sz w:val="22"/>
          </w:rPr>
          <w:t>571—Chapter 17</w:t>
        </w:r>
      </w:hyperlink>
      <w:r>
        <w:rPr>
          <w:rFonts w:ascii="Times New Roman" w:hAnsi="Times New Roman"/>
          <w:b w:val="false"/>
          <w:i w:val="false"/>
          <w:color w:val="000000"/>
          <w:sz w:val="22"/>
        </w:rPr>
        <w:t xml:space="preserve"> or other methods approved by the commission and executed pursuant to Iowa Code section </w:t>
      </w:r>
      <w:hyperlink r:id="rId41">
        <w:r>
          <w:rPr>
            <w:rStyle w:val="Hyperlink"/>
            <w:rFonts w:ascii="Times New Roman" w:hAnsi="Times New Roman"/>
            <w:b w:val="false"/>
            <w:i w:val="false"/>
            <w:color w:val="000000"/>
            <w:sz w:val="22"/>
          </w:rPr>
          <w:t>461A.25</w:t>
        </w:r>
      </w:hyperlink>
      <w:r>
        <w:rPr>
          <w:rFonts w:ascii="Times New Roman" w:hAnsi="Times New Roman"/>
          <w:b w:val="false"/>
          <w:i w:val="false"/>
          <w:color w:val="000000"/>
          <w:sz w:val="22"/>
        </w:rPr>
        <w:t xml:space="preserve">. Requests for leases shall be made on the form and shall include the information required by rule </w:t>
      </w:r>
      <w:hyperlink r:id="rId42">
        <w:r>
          <w:rPr>
            <w:rStyle w:val="Hyperlink"/>
            <w:rFonts w:ascii="Times New Roman" w:hAnsi="Times New Roman"/>
            <w:b w:val="false"/>
            <w:i w:val="false"/>
            <w:color w:val="000000"/>
            <w:sz w:val="22"/>
          </w:rPr>
          <w:t>571—13.9</w:t>
        </w:r>
      </w:hyperlink>
      <w:r>
        <w:rPr>
          <w:rFonts w:ascii="Times New Roman" w:hAnsi="Times New Roman"/>
          <w:b w:val="false"/>
          <w:i w:val="false"/>
          <w:color w:val="000000"/>
          <w:sz w:val="22"/>
        </w:rPr>
        <w:t>(455A,461A,462A) under Division I of this chapter. The department may grant a lease if, in the department’s sole discretion, the lease will not impair the state’s intended use of the area during the term of the lease; the lease will not negatively impact a federal interest, including related deed restrictions, related to the area during the term of the lease; and the lease will not result in an exclusive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571—13.52</w:t>
      </w:r>
      <w:r>
        <w:rPr>
          <w:rFonts w:ascii="Times New Roman" w:hAnsi="Times New Roman"/>
          <w:b/>
          <w:i w:val="false"/>
          <w:color w:val="000000"/>
          <w:sz w:val="22"/>
        </w:rPr>
        <w:t xml:space="preserve">(455A,461A) </w:t>
      </w:r>
      <w:r>
        <w:rPr>
          <w:rFonts w:ascii="Times New Roman" w:hAnsi="Times New Roman"/>
          <w:b/>
          <w:i w:val="false"/>
          <w:color w:val="000000"/>
          <w:sz w:val="22"/>
        </w:rPr>
        <w:t xml:space="preserve">Easements. </w:t>
      </w:r>
      <w:r>
        <w:rPr>
          <w:rFonts w:ascii="Times New Roman" w:hAnsi="Times New Roman"/>
          <w:b w:val="false"/>
          <w:i w:val="false"/>
          <w:color w:val="000000"/>
          <w:sz w:val="22"/>
        </w:rPr>
        <w:t xml:space="preserve">The director may grant an easement to political subdivisions and utility companies pursuant to Iowa Code section </w:t>
      </w:r>
      <w:hyperlink r:id="rId43">
        <w:r>
          <w:rPr>
            <w:rStyle w:val="Hyperlink"/>
            <w:rFonts w:ascii="Times New Roman" w:hAnsi="Times New Roman"/>
            <w:b w:val="false"/>
            <w:i w:val="false"/>
            <w:color w:val="000000"/>
            <w:sz w:val="22"/>
          </w:rPr>
          <w:t>461A.25</w:t>
        </w:r>
      </w:hyperlink>
      <w:r>
        <w:rPr>
          <w:rFonts w:ascii="Times New Roman" w:hAnsi="Times New Roman"/>
          <w:b w:val="false"/>
          <w:i w:val="false"/>
          <w:color w:val="000000"/>
          <w:sz w:val="22"/>
        </w:rPr>
        <w:t>, provided the following terms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easements shall be made on the form and shall include the information required by rule </w:t>
      </w:r>
      <w:hyperlink r:id="rId44">
        <w:r>
          <w:rPr>
            <w:rStyle w:val="Hyperlink"/>
            <w:rFonts w:ascii="Times New Roman" w:hAnsi="Times New Roman"/>
            <w:b w:val="false"/>
            <w:i w:val="false"/>
            <w:color w:val="000000"/>
            <w:sz w:val="22"/>
          </w:rPr>
          <w:t>571—13.9</w:t>
        </w:r>
      </w:hyperlink>
      <w:r>
        <w:rPr>
          <w:rFonts w:ascii="Times New Roman" w:hAnsi="Times New Roman"/>
          <w:b w:val="false"/>
          <w:i w:val="false"/>
          <w:color w:val="000000"/>
          <w:sz w:val="22"/>
        </w:rPr>
        <w:t>(455A,461A,462A) under Division I of this chapter. The department may grant an easement if, in the department’s sole discretion, the easement will not impair the state’s intended use of the area during the term of the easement or the easement will not negatively impact a federal interest, including related deed restrictions, related to the area during the term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13.52(2)</w:t>
      </w:r>
      <w:r>
        <w:rPr>
          <w:rFonts w:ascii="Times New Roman" w:hAnsi="Times New Roman"/>
          <w:b w:val="false"/>
          <w:i w:val="false"/>
          <w:color w:val="000000"/>
          <w:sz w:val="22"/>
        </w:rPr>
        <w:t> </w:t>
      </w:r>
      <w:r>
        <w:rPr>
          <w:rFonts w:ascii="Times New Roman" w:hAnsi="Times New Roman"/>
          <w:b w:val="false"/>
          <w:i w:val="false"/>
          <w:color w:val="000000"/>
          <w:sz w:val="22"/>
        </w:rPr>
        <w:t>The value of an easement shall be determined by the director based upon a real estate appraisal or other method approved by the commission, as evidenced in the meeting minutes thereof. In addition to fees for easements, the director may assess the applicant for the reasonable transaction costs associated with the issuing of an easement including the cost of appraisals, other methods of establishing values, and land surveys. In determining the fee for an easement, the department may consider the value the proposed activity may contribute to the department’s management of the affected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13.52(3)</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of any easements granted pursuant to this rule shall assume liability for structures installed pursuant to such easement and shall comply with the standards enumerated in rule </w:t>
      </w:r>
      <w:hyperlink r:id="rId45">
        <w:r>
          <w:rPr>
            <w:rStyle w:val="Hyperlink"/>
            <w:rFonts w:ascii="Times New Roman" w:hAnsi="Times New Roman"/>
            <w:b w:val="false"/>
            <w:i w:val="false"/>
            <w:color w:val="000000"/>
            <w:sz w:val="22"/>
          </w:rPr>
          <w:t>571—13.7</w:t>
        </w:r>
      </w:hyperlink>
      <w:r>
        <w:rPr>
          <w:rFonts w:ascii="Times New Roman" w:hAnsi="Times New Roman"/>
          <w:b w:val="false"/>
          <w:i w:val="false"/>
          <w:color w:val="000000"/>
          <w:sz w:val="22"/>
        </w:rPr>
        <w:t>(455A,461A,462A), as applicable, in the sole discretion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571—13.53</w:t>
      </w:r>
      <w:r>
        <w:rPr>
          <w:rFonts w:ascii="Times New Roman" w:hAnsi="Times New Roman"/>
          <w:b/>
          <w:i w:val="false"/>
          <w:color w:val="000000"/>
          <w:sz w:val="22"/>
        </w:rPr>
        <w:t xml:space="preserve">(455A,461A) </w:t>
      </w:r>
      <w:r>
        <w:rPr>
          <w:rFonts w:ascii="Times New Roman" w:hAnsi="Times New Roman"/>
          <w:b/>
          <w:i w:val="false"/>
          <w:color w:val="000000"/>
          <w:sz w:val="22"/>
        </w:rPr>
        <w:t xml:space="preserve">Appeals. </w:t>
      </w:r>
      <w:r>
        <w:rPr>
          <w:rFonts w:ascii="Times New Roman" w:hAnsi="Times New Roman"/>
          <w:b w:val="false"/>
          <w:i w:val="false"/>
          <w:color w:val="000000"/>
          <w:sz w:val="22"/>
        </w:rPr>
        <w:t>The department and the commission are under no legal obligation to provide any person a legal interest in property under the jurisdiction of the commission. An applicant may appeal to the director a decision of the department regarding leases and easements and request that the director reconsider a condition of an easement or a lease or a denial of an easement or a lease. The determination of the director shall be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6">
        <w:r>
          <w:rPr>
            <w:rStyle w:val="Hyperlink"/>
            <w:rFonts w:ascii="Times New Roman" w:hAnsi="Times New Roman"/>
            <w:b w:val="false"/>
            <w:i w:val="false"/>
            <w:color w:val="000000"/>
            <w:sz w:val="22"/>
          </w:rPr>
          <w:t>455A.5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461A.5A</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461A.5B</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461A.6</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461A.18</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461A.25</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462A.3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8/22/97, Notice 6/4/97—published 9/10/97, effective 10/15/97]</w:t>
      </w:r>
    </w:p>
    <w:p>
      <w:pPr>
        <w:spacing w:before="0" w:after="0"/>
        <w:ind w:left="120"/>
        <w:jc w:val="center"/>
      </w:pPr>
      <w:r>
        <w:rPr>
          <w:rFonts w:ascii="Times New Roman" w:hAnsi="Times New Roman"/>
          <w:b w:val="false"/>
          <w:i w:val="false"/>
          <w:color w:val="000000"/>
          <w:sz w:val="21"/>
        </w:rPr>
        <w:t>[Filed ARC 7616B</w:t>
      </w:r>
      <w:r>
        <w:rPr>
          <w:rFonts w:ascii="Times New Roman" w:hAnsi="Times New Roman"/>
          <w:b w:val="false"/>
          <w:i w:val="false"/>
          <w:color w:val="000000"/>
          <w:sz w:val="21"/>
        </w:rPr>
        <w:t xml:space="preserve"> (Notice ARC 7416B, IAB 12/17/08)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7891C</w:t>
      </w:r>
      <w:r>
        <w:rPr>
          <w:rFonts w:ascii="Times New Roman" w:hAnsi="Times New Roman"/>
          <w:b w:val="false"/>
          <w:i w:val="false"/>
          <w:color w:val="000000"/>
          <w:sz w:val="21"/>
        </w:rPr>
        <w:t xml:space="preserve"> (Notice ARC 7248C,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pdf" Type="http://schemas.openxmlformats.org/officeDocument/2006/relationships/hyperlink" Id="rId5"/>
    <Relationship TargetMode="External" Target="https://www.legis.iowa.gov/docs/iac/chapter/571.16.pdf" Type="http://schemas.openxmlformats.org/officeDocument/2006/relationships/hyperlink" Id="rId6"/>
    <Relationship TargetMode="External" Target="https://www.legis.iowa.gov/docs/iac/rule/571.51.6.pdf" Type="http://schemas.openxmlformats.org/officeDocument/2006/relationships/hyperlink" Id="rId7"/>
    <Relationship TargetMode="External" Target="https://www.legis.iowa.gov/docs/iac/rule/571.13.9.pdf" Type="http://schemas.openxmlformats.org/officeDocument/2006/relationships/hyperlink" Id="rId8"/>
    <Relationship TargetMode="External" Target="https://www.legis.iowa.gov/docs/iac/rule/571.13.2.pdf" Type="http://schemas.openxmlformats.org/officeDocument/2006/relationships/hyperlink" Id="rId9"/>
    <Relationship TargetMode="External" Target="https://www.legis.iowa.gov/docs/ico/chapter/461A.25.pdf" Type="http://schemas.openxmlformats.org/officeDocument/2006/relationships/hyperlink" Id="rId10"/>
    <Relationship TargetMode="External" Target="https://www.legis.iowa.gov/docs/ico/chapter/461A.25.pdf" Type="http://schemas.openxmlformats.org/officeDocument/2006/relationships/hyperlink" Id="rId11"/>
    <Relationship TargetMode="External" Target="https://www.legis.iowa.gov/docs/ico/chapter/4.1.pdf" Type="http://schemas.openxmlformats.org/officeDocument/2006/relationships/hyperlink" Id="rId12"/>
    <Relationship TargetMode="External" Target="https://www.legis.iowa.gov/docs/ico/chapter/481B.5.pdf" Type="http://schemas.openxmlformats.org/officeDocument/2006/relationships/hyperlink" Id="rId13"/>
    <Relationship TargetMode="External" Target="https://www.legis.iowa.gov/docs/iac/rule/571.77.4.pdf" Type="http://schemas.openxmlformats.org/officeDocument/2006/relationships/hyperlink" Id="rId14"/>
    <Relationship TargetMode="External" Target="https://www.legis.iowa.gov/docs/ico/chapter/455B.pdf" Type="http://schemas.openxmlformats.org/officeDocument/2006/relationships/hyperlink" Id="rId15"/>
    <Relationship TargetMode="External" Target="https://www.legis.iowa.gov/docs/iac/chapter/567.70-76.pdf" Type="http://schemas.openxmlformats.org/officeDocument/2006/relationships/hyperlink" Id="rId16"/>
    <Relationship TargetMode="External" Target="https://www.legis.iowa.gov/docs/iac/rule/571.13.7.pdf" Type="http://schemas.openxmlformats.org/officeDocument/2006/relationships/hyperlink" Id="rId17"/>
    <Relationship TargetMode="External" Target="https://www.legis.iowa.gov/docs/iac/rule/571.13.2.pdf" Type="http://schemas.openxmlformats.org/officeDocument/2006/relationships/hyperlink" Id="rId18"/>
    <Relationship TargetMode="External" Target="https://www.legis.iowa.gov/docs/iac/rule/571.13.6.pdf" Type="http://schemas.openxmlformats.org/officeDocument/2006/relationships/hyperlink" Id="rId19"/>
    <Relationship TargetMode="External" Target="https://www.legis.iowa.gov/docs/iac/chapter/571.16.pdf" Type="http://schemas.openxmlformats.org/officeDocument/2006/relationships/hyperlink" Id="rId20"/>
    <Relationship TargetMode="External" Target="http://programs.iowadnr.gov/permt/" Type="http://schemas.openxmlformats.org/officeDocument/2006/relationships/hyperlink" Id="rId21"/>
    <Relationship TargetMode="External" Target="https://www.legis.iowa.gov/docs/iac/chapter/571.7.pdf" Type="http://schemas.openxmlformats.org/officeDocument/2006/relationships/hyperlink" Id="rId22"/>
    <Relationship TargetMode="External" Target="https://www.legis.iowa.gov/docs/ico/chapter/17A.9A.pdf" Type="http://schemas.openxmlformats.org/officeDocument/2006/relationships/hyperlink" Id="rId23"/>
    <Relationship TargetMode="External" Target="https://www.legis.iowa.gov/docs/iac/chapter/571.11.pdf" Type="http://schemas.openxmlformats.org/officeDocument/2006/relationships/hyperlink" Id="rId24"/>
    <Relationship TargetMode="External" Target="https://www.legis.iowa.gov/docs/ico/chapter/461A.4.pdf" Type="http://schemas.openxmlformats.org/officeDocument/2006/relationships/hyperlink" Id="rId25"/>
    <Relationship TargetMode="External" Target="https://www.legis.iowa.gov/docs/ico/chapter/461A.5B.pdf" Type="http://schemas.openxmlformats.org/officeDocument/2006/relationships/hyperlink" Id="rId26"/>
    <Relationship TargetMode="External" Target="https://www.legis.iowa.gov/docs/iac/rule/571.13.17.pdf" Type="http://schemas.openxmlformats.org/officeDocument/2006/relationships/hyperlink" Id="rId27"/>
    <Relationship TargetMode="External" Target="https://www.legis.iowa.gov/docs/iac/rule/571.13.15.pdf" Type="http://schemas.openxmlformats.org/officeDocument/2006/relationships/hyperlink" Id="rId28"/>
    <Relationship TargetMode="External" Target="https://www.legis.iowa.gov/docs/iac/rule/571.13.17.pdf" Type="http://schemas.openxmlformats.org/officeDocument/2006/relationships/hyperlink" Id="rId29"/>
    <Relationship TargetMode="External" Target="https://www.legis.iowa.gov/docs/iac/chapter/571.7.pdf" Type="http://schemas.openxmlformats.org/officeDocument/2006/relationships/hyperlink" Id="rId30"/>
    <Relationship TargetMode="External" Target="https://www.legis.iowa.gov/docs/iac/chapter/571.7.pdf" Type="http://schemas.openxmlformats.org/officeDocument/2006/relationships/hyperlink" Id="rId31"/>
    <Relationship TargetMode="External" Target="https://www.legis.iowa.gov/docs/ico/chapter/461A.4.pdf" Type="http://schemas.openxmlformats.org/officeDocument/2006/relationships/hyperlink" Id="rId32"/>
    <Relationship TargetMode="External" Target="https://www.legis.iowa.gov/docs/ico/chapter/461A.5A.pdf" Type="http://schemas.openxmlformats.org/officeDocument/2006/relationships/hyperlink" Id="rId33"/>
    <Relationship TargetMode="External" Target="https://www.legis.iowa.gov/docs/iac/chapter/571.7.pdf" Type="http://schemas.openxmlformats.org/officeDocument/2006/relationships/hyperlink" Id="rId34"/>
    <Relationship TargetMode="External" Target="https://www.legis.iowa.gov/docs/iac/chapter/571.7.pdf" Type="http://schemas.openxmlformats.org/officeDocument/2006/relationships/hyperlink" Id="rId35"/>
    <Relationship TargetMode="External" Target="https://www.legis.iowa.gov/docs/iac/rule/571.13.18.pdf" Type="http://schemas.openxmlformats.org/officeDocument/2006/relationships/hyperlink" Id="rId36"/>
    <Relationship TargetMode="External" Target="https://www.legis.iowa.gov/docs/iac/rule/571.13.18.pdf" Type="http://schemas.openxmlformats.org/officeDocument/2006/relationships/hyperlink" Id="rId37"/>
    <Relationship TargetMode="External" Target="https://www.legis.iowa.gov/docs/iac/rule/571.13.18.pdf" Type="http://schemas.openxmlformats.org/officeDocument/2006/relationships/hyperlink" Id="rId38"/>
    <Relationship TargetMode="External" Target="https://www.legis.iowa.gov/docs/iac/rule/571.13.7.pdf" Type="http://schemas.openxmlformats.org/officeDocument/2006/relationships/hyperlink" Id="rId39"/>
    <Relationship TargetMode="External" Target="https://www.legis.iowa.gov/docs/iac/chapter/571.17.pdf" Type="http://schemas.openxmlformats.org/officeDocument/2006/relationships/hyperlink" Id="rId40"/>
    <Relationship TargetMode="External" Target="https://www.legis.iowa.gov/docs/ico/chapter/461A.25.pdf" Type="http://schemas.openxmlformats.org/officeDocument/2006/relationships/hyperlink" Id="rId41"/>
    <Relationship TargetMode="External" Target="https://www.legis.iowa.gov/docs/iac/rule/571.13.9.pdf" Type="http://schemas.openxmlformats.org/officeDocument/2006/relationships/hyperlink" Id="rId42"/>
    <Relationship TargetMode="External" Target="https://www.legis.iowa.gov/docs/ico/chapter/461A.25.pdf" Type="http://schemas.openxmlformats.org/officeDocument/2006/relationships/hyperlink" Id="rId43"/>
    <Relationship TargetMode="External" Target="https://www.legis.iowa.gov/docs/iac/rule/571.13.9.pdf" Type="http://schemas.openxmlformats.org/officeDocument/2006/relationships/hyperlink" Id="rId44"/>
    <Relationship TargetMode="External" Target="https://www.legis.iowa.gov/docs/iac/rule/571.13.7.pdf" Type="http://schemas.openxmlformats.org/officeDocument/2006/relationships/hyperlink" Id="rId45"/>
    <Relationship TargetMode="External" Target="https://www.legis.iowa.gov/docs/ico/chapter/455A.5.pdf" Type="http://schemas.openxmlformats.org/officeDocument/2006/relationships/hyperlink" Id="rId46"/>
    <Relationship TargetMode="External" Target="https://www.legis.iowa.gov/docs/ico/chapter/461A.4.pdf" Type="http://schemas.openxmlformats.org/officeDocument/2006/relationships/hyperlink" Id="rId47"/>
    <Relationship TargetMode="External" Target="https://www.legis.iowa.gov/docs/ico/chapter/461A.5A.pdf" Type="http://schemas.openxmlformats.org/officeDocument/2006/relationships/hyperlink" Id="rId48"/>
    <Relationship TargetMode="External" Target="https://www.legis.iowa.gov/docs/ico/chapter/461A.5B.pdf" Type="http://schemas.openxmlformats.org/officeDocument/2006/relationships/hyperlink" Id="rId49"/>
    <Relationship TargetMode="External" Target="https://www.legis.iowa.gov/docs/ico/chapter/461A.6.pdf" Type="http://schemas.openxmlformats.org/officeDocument/2006/relationships/hyperlink" Id="rId50"/>
    <Relationship TargetMode="External" Target="https://www.legis.iowa.gov/docs/ico/chapter/461A.18.pdf" Type="http://schemas.openxmlformats.org/officeDocument/2006/relationships/hyperlink" Id="rId51"/>
    <Relationship TargetMode="External" Target="https://www.legis.iowa.gov/docs/ico/chapter/461A.25.pdf" Type="http://schemas.openxmlformats.org/officeDocument/2006/relationships/hyperlink" Id="rId52"/>
    <Relationship TargetMode="External" Target="https://www.legis.iowa.gov/docs/ico/chapter/462A.3.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