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w:t>
      </w:r>
    </w:p>
    <w:p>
      <w:pPr>
        <w:spacing w:before="0" w:after="0"/>
        <w:ind w:left="120"/>
        <w:jc w:val="center"/>
      </w:pPr>
      <w:r>
        <w:rPr>
          <w:rFonts w:ascii="Times New Roman" w:hAnsi="Times New Roman"/>
          <w:b w:val="false"/>
          <w:i w:val="false"/>
          <w:color w:val="000000"/>
          <w:sz w:val="21"/>
        </w:rPr>
        <w:t>WILD FURBEARER TRAPPING AND HUNTING</w:t>
      </w:r>
    </w:p>
    <w:p>
      <w:pPr>
        <w:spacing w:before="0" w:after="0"/>
        <w:ind w:left="120"/>
        <w:jc w:val="center"/>
      </w:pPr>
      <w:r>
        <w:rPr>
          <w:rFonts w:ascii="Times New Roman" w:hAnsi="Times New Roman"/>
          <w:b w:val="false"/>
          <w:i w:val="false"/>
          <w:color w:val="000000"/>
          <w:sz w:val="14"/>
        </w:rPr>
        <w:t>[Prior to 12/31/86, Conservation Commission[290] Ch 104]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571—108.1</w:t>
      </w:r>
      <w:r>
        <w:rPr>
          <w:rFonts w:ascii="Times New Roman" w:hAnsi="Times New Roman"/>
          <w:b/>
          <w:i w:val="false"/>
          <w:color w:val="000000"/>
          <w:sz w:val="22"/>
        </w:rPr>
        <w:t xml:space="preserve">(481A) </w:t>
      </w:r>
      <w:r>
        <w:rPr>
          <w:rFonts w:ascii="Times New Roman" w:hAnsi="Times New Roman"/>
          <w:b/>
          <w:i w:val="false"/>
          <w:color w:val="000000"/>
          <w:sz w:val="22"/>
        </w:rPr>
        <w:t xml:space="preserve">Badger, opossum, striped skunk, red fox, gray fox, mink, muskrat and weasel. </w:t>
      </w:r>
      <w:r>
        <w:rPr>
          <w:rFonts w:ascii="Times New Roman" w:hAnsi="Times New Roman"/>
          <w:b w:val="false"/>
          <w:i w:val="false"/>
          <w:color w:val="000000"/>
          <w:sz w:val="22"/>
        </w:rPr>
        <w:t>Open season shall be from 8 a.m. on the first Saturday in November through February 28 of the succeeding year. Entire state open. No daily bag or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w:t>
      </w:r>
      <w:r>
        <w:rPr>
          <w:rFonts w:ascii="Times New Roman" w:hAnsi="Times New Roman"/>
          <w:b w:val="false"/>
          <w:i w:val="false"/>
          <w:color w:val="000000"/>
          <w:sz w:val="22"/>
        </w:rPr>
        <w:t> </w:t>
      </w:r>
      <w:r>
        <w:rPr>
          <w:rFonts w:ascii="Times New Roman" w:hAnsi="Times New Roman"/>
          <w:b w:val="false"/>
          <w:i/>
          <w:color w:val="000000"/>
          <w:sz w:val="22"/>
        </w:rPr>
        <w:t xml:space="preserve">Disturbing muskrat houses. </w:t>
      </w:r>
      <w:r>
        <w:rPr>
          <w:rFonts w:ascii="Times New Roman" w:hAnsi="Times New Roman"/>
          <w:b w:val="false"/>
          <w:i w:val="false"/>
          <w:color w:val="000000"/>
          <w:sz w:val="22"/>
        </w:rPr>
        <w:t xml:space="preserve">Any department of natural resources officer, natural resource biologist, or county conservation board director may permit trappers to dig into or disturb muskrat houses on specific state or county game management areas as provided in Iowa Code section </w:t>
      </w:r>
      <w:hyperlink r:id="rId5">
        <w:r>
          <w:rPr>
            <w:rStyle w:val="Hyperlink"/>
            <w:rFonts w:ascii="Times New Roman" w:hAnsi="Times New Roman"/>
            <w:b w:val="false"/>
            <w:i w:val="false"/>
            <w:color w:val="000000"/>
            <w:sz w:val="22"/>
          </w:rPr>
          <w:t>481A.90</w:t>
        </w:r>
      </w:hyperlink>
      <w:r>
        <w:rPr>
          <w:rFonts w:ascii="Times New Roman" w:hAnsi="Times New Roman"/>
          <w:b w:val="false"/>
          <w:i w:val="false"/>
          <w:color w:val="000000"/>
          <w:sz w:val="22"/>
        </w:rPr>
        <w:t>, after finding that muskrats are causing excessive damage by destroying the vegetation essential to the welfare of a marsh and after so posting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108.1(2)</w:t>
      </w:r>
      <w:r>
        <w:rPr>
          <w:rFonts w:ascii="Times New Roman" w:hAnsi="Times New Roman"/>
          <w:b w:val="false"/>
          <w:i w:val="false"/>
          <w:color w:val="000000"/>
          <w:sz w:val="22"/>
        </w:rPr>
        <w:t> </w:t>
      </w:r>
      <w:r>
        <w:rPr>
          <w:rFonts w:ascii="Times New Roman" w:hAnsi="Times New Roman"/>
          <w:b w:val="false"/>
          <w:i/>
          <w:color w:val="000000"/>
          <w:sz w:val="22"/>
        </w:rPr>
        <w:t xml:space="preserve">Game management areas. </w:t>
      </w:r>
      <w:r>
        <w:rPr>
          <w:rFonts w:ascii="Times New Roman" w:hAnsi="Times New Roman"/>
          <w:b w:val="false"/>
          <w:i w:val="false"/>
          <w:color w:val="000000"/>
          <w:sz w:val="22"/>
        </w:rPr>
        <w:t>Open season for taking muskrats on certain state game management areas, certain federal national wildlife refuges, and certain county conservation board areas, only where approved by the wildlife bureau and posted accordingly, shall be from 8 a.m. the day after the regular muskrat trapping season ends until April 1. The use of foothold traps during this season is prohibited unless each trap is placed completely inside a muskrat house. No daily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0117D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571—108.2</w:t>
      </w:r>
      <w:r>
        <w:rPr>
          <w:rFonts w:ascii="Times New Roman" w:hAnsi="Times New Roman"/>
          <w:b/>
          <w:i w:val="false"/>
          <w:color w:val="000000"/>
          <w:sz w:val="22"/>
        </w:rPr>
        <w:t xml:space="preserve">(481A) </w:t>
      </w:r>
      <w:r>
        <w:rPr>
          <w:rFonts w:ascii="Times New Roman" w:hAnsi="Times New Roman"/>
          <w:b/>
          <w:i w:val="false"/>
          <w:color w:val="000000"/>
          <w:sz w:val="22"/>
        </w:rPr>
        <w:t xml:space="preserve">Groundhog. </w:t>
      </w:r>
      <w:r>
        <w:rPr>
          <w:rFonts w:ascii="Times New Roman" w:hAnsi="Times New Roman"/>
          <w:b w:val="false"/>
          <w:i w:val="false"/>
          <w:color w:val="000000"/>
          <w:sz w:val="22"/>
        </w:rPr>
        <w:t>Continuous open season. Entire state open. No daily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571—108.3</w:t>
      </w:r>
      <w:r>
        <w:rPr>
          <w:rFonts w:ascii="Times New Roman" w:hAnsi="Times New Roman"/>
          <w:b/>
          <w:i w:val="false"/>
          <w:color w:val="000000"/>
          <w:sz w:val="22"/>
        </w:rPr>
        <w:t xml:space="preserve">(481A) </w:t>
      </w:r>
      <w:r>
        <w:rPr>
          <w:rFonts w:ascii="Times New Roman" w:hAnsi="Times New Roman"/>
          <w:b/>
          <w:i w:val="false"/>
          <w:color w:val="000000"/>
          <w:sz w:val="22"/>
        </w:rPr>
        <w:t xml:space="preserve">Raccoon.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108.3(1)</w:t>
      </w:r>
      <w:r>
        <w:rPr>
          <w:rFonts w:ascii="Times New Roman" w:hAnsi="Times New Roman"/>
          <w:b w:val="false"/>
          <w:i w:val="false"/>
          <w:color w:val="000000"/>
          <w:sz w:val="22"/>
        </w:rPr>
        <w:t> </w:t>
      </w:r>
      <w:r>
        <w:rPr>
          <w:rFonts w:ascii="Times New Roman" w:hAnsi="Times New Roman"/>
          <w:b w:val="false"/>
          <w:i/>
          <w:color w:val="000000"/>
          <w:sz w:val="22"/>
        </w:rPr>
        <w:t xml:space="preserve">Hunting. </w:t>
      </w:r>
      <w:r>
        <w:rPr>
          <w:rFonts w:ascii="Times New Roman" w:hAnsi="Times New Roman"/>
          <w:b w:val="false"/>
          <w:i w:val="false"/>
          <w:color w:val="000000"/>
          <w:sz w:val="22"/>
        </w:rPr>
        <w:t>Continuous open season on private lands and from 8 a.m. on the first Saturday in November through February 28 of the succeeding year on public lands. Entire state open. No daily bag or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108.3(2)</w:t>
      </w:r>
      <w:r>
        <w:rPr>
          <w:rFonts w:ascii="Times New Roman" w:hAnsi="Times New Roman"/>
          <w:b w:val="false"/>
          <w:i w:val="false"/>
          <w:color w:val="000000"/>
          <w:sz w:val="22"/>
        </w:rPr>
        <w:t> </w:t>
      </w:r>
      <w:r>
        <w:rPr>
          <w:rFonts w:ascii="Times New Roman" w:hAnsi="Times New Roman"/>
          <w:b w:val="false"/>
          <w:i/>
          <w:color w:val="000000"/>
          <w:sz w:val="22"/>
        </w:rPr>
        <w:t xml:space="preserve">Trapping. </w:t>
      </w:r>
      <w:r>
        <w:rPr>
          <w:rFonts w:ascii="Times New Roman" w:hAnsi="Times New Roman"/>
          <w:b w:val="false"/>
          <w:i w:val="false"/>
          <w:color w:val="000000"/>
          <w:sz w:val="22"/>
        </w:rPr>
        <w:t>Continuous open season using cage traps and dog-proof traps on private lands year-round. Trapping limitations described in this chapter apply to trapping raccoons from 8 a.m. on the first Saturday in November through February 28 of the succeeding year on all lands. Entire state open. No daily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571—108.4</w:t>
      </w:r>
      <w:r>
        <w:rPr>
          <w:rFonts w:ascii="Times New Roman" w:hAnsi="Times New Roman"/>
          <w:b/>
          <w:i w:val="false"/>
          <w:color w:val="000000"/>
          <w:sz w:val="22"/>
        </w:rPr>
        <w:t xml:space="preserve">(481A) </w:t>
      </w:r>
      <w:r>
        <w:rPr>
          <w:rFonts w:ascii="Times New Roman" w:hAnsi="Times New Roman"/>
          <w:b/>
          <w:i w:val="false"/>
          <w:color w:val="000000"/>
          <w:sz w:val="22"/>
        </w:rPr>
        <w:t xml:space="preserve">Beaver. </w:t>
      </w:r>
      <w:r>
        <w:rPr>
          <w:rFonts w:ascii="Times New Roman" w:hAnsi="Times New Roman"/>
          <w:b w:val="false"/>
          <w:i w:val="false"/>
          <w:color w:val="000000"/>
          <w:sz w:val="22"/>
        </w:rPr>
        <w:t>Open season shall be from 8 a.m. on the first Saturday in November through April 15 of the succeeding year. No daily bag or possession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0117D</w:t>
      </w:r>
      <w:r>
        <w:rPr>
          <w:rFonts w:ascii="Times New Roman" w:hAnsi="Times New Roman"/>
          <w:b w:val="false"/>
          <w:i w:val="false"/>
          <w:color w:val="000000"/>
          <w:sz w:val="16"/>
        </w:rPr>
        <w:t>, IAB 3/4/26, effective 4/8/26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571—108.5</w:t>
      </w:r>
      <w:r>
        <w:rPr>
          <w:rFonts w:ascii="Times New Roman" w:hAnsi="Times New Roman"/>
          <w:b/>
          <w:i w:val="false"/>
          <w:color w:val="000000"/>
          <w:sz w:val="22"/>
        </w:rPr>
        <w:t xml:space="preserve">(481A) </w:t>
      </w:r>
      <w:r>
        <w:rPr>
          <w:rFonts w:ascii="Times New Roman" w:hAnsi="Times New Roman"/>
          <w:b/>
          <w:i w:val="false"/>
          <w:color w:val="000000"/>
          <w:sz w:val="22"/>
        </w:rPr>
        <w:t xml:space="preserve">Coyote.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108.5(1)</w:t>
      </w:r>
      <w:r>
        <w:rPr>
          <w:rFonts w:ascii="Times New Roman" w:hAnsi="Times New Roman"/>
          <w:b w:val="false"/>
          <w:i w:val="false"/>
          <w:color w:val="000000"/>
          <w:sz w:val="22"/>
        </w:rPr>
        <w:t> </w:t>
      </w:r>
      <w:r>
        <w:rPr>
          <w:rFonts w:ascii="Times New Roman" w:hAnsi="Times New Roman"/>
          <w:b w:val="false"/>
          <w:i/>
          <w:color w:val="000000"/>
          <w:sz w:val="22"/>
        </w:rPr>
        <w:t xml:space="preserve">Hunting. </w:t>
      </w:r>
      <w:r>
        <w:rPr>
          <w:rFonts w:ascii="Times New Roman" w:hAnsi="Times New Roman"/>
          <w:b w:val="false"/>
          <w:i w:val="false"/>
          <w:color w:val="000000"/>
          <w:sz w:val="22"/>
        </w:rPr>
        <w:t>Continuous open season. Entire state open. No daily bag or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108.5(2)</w:t>
      </w:r>
      <w:r>
        <w:rPr>
          <w:rFonts w:ascii="Times New Roman" w:hAnsi="Times New Roman"/>
          <w:b w:val="false"/>
          <w:i w:val="false"/>
          <w:color w:val="000000"/>
          <w:sz w:val="22"/>
        </w:rPr>
        <w:t> </w:t>
      </w:r>
      <w:r>
        <w:rPr>
          <w:rFonts w:ascii="Times New Roman" w:hAnsi="Times New Roman"/>
          <w:b w:val="false"/>
          <w:i/>
          <w:color w:val="000000"/>
          <w:sz w:val="22"/>
        </w:rPr>
        <w:t xml:space="preserve">Trapping. </w:t>
      </w:r>
      <w:r>
        <w:rPr>
          <w:rFonts w:ascii="Times New Roman" w:hAnsi="Times New Roman"/>
          <w:b w:val="false"/>
          <w:i w:val="false"/>
          <w:color w:val="000000"/>
          <w:sz w:val="22"/>
        </w:rPr>
        <w:t>Open season for trapping coyote shall be 8 a.m. on the first Saturday in November through February 28 of the succeeding year. Entire state open. No daily bag or possession limit. Any conservation officer or wildlife biologist may authorize a landowner, tenant or designee to trap coyotes causing damage outside the established trapping season dates.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571—108.6</w:t>
      </w:r>
      <w:r>
        <w:rPr>
          <w:rFonts w:ascii="Times New Roman" w:hAnsi="Times New Roman"/>
          <w:b/>
          <w:i w:val="false"/>
          <w:color w:val="000000"/>
          <w:sz w:val="22"/>
        </w:rPr>
        <w:t xml:space="preserve">(481A) </w:t>
      </w:r>
      <w:r>
        <w:rPr>
          <w:rFonts w:ascii="Times New Roman" w:hAnsi="Times New Roman"/>
          <w:b/>
          <w:i w:val="false"/>
          <w:color w:val="000000"/>
          <w:sz w:val="22"/>
        </w:rPr>
        <w:t xml:space="preserve">Gray (timber) wolf and spotted skunk. </w:t>
      </w:r>
      <w:r>
        <w:rPr>
          <w:rFonts w:ascii="Times New Roman" w:hAnsi="Times New Roman"/>
          <w:b w:val="false"/>
          <w:i w:val="false"/>
          <w:color w:val="000000"/>
          <w:sz w:val="22"/>
        </w:rPr>
        <w:t>Continuous closed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571—108.7</w:t>
      </w:r>
      <w:r>
        <w:rPr>
          <w:rFonts w:ascii="Times New Roman" w:hAnsi="Times New Roman"/>
          <w:b/>
          <w:i w:val="false"/>
          <w:color w:val="000000"/>
          <w:sz w:val="22"/>
        </w:rPr>
        <w:t xml:space="preserve">(481A) </w:t>
      </w:r>
      <w:r>
        <w:rPr>
          <w:rFonts w:ascii="Times New Roman" w:hAnsi="Times New Roman"/>
          <w:b/>
          <w:i w:val="false"/>
          <w:color w:val="000000"/>
          <w:sz w:val="22"/>
        </w:rPr>
        <w:t xml:space="preserve">River otter and bobcat.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w:t>
      </w:r>
      <w:r>
        <w:rPr>
          <w:rFonts w:ascii="Times New Roman" w:hAnsi="Times New Roman"/>
          <w:b w:val="false"/>
          <w:i w:val="false"/>
          <w:color w:val="000000"/>
          <w:sz w:val="22"/>
        </w:rPr>
        <w:t> </w:t>
      </w:r>
      <w:r>
        <w:rPr>
          <w:rFonts w:ascii="Times New Roman" w:hAnsi="Times New Roman"/>
          <w:b w:val="false"/>
          <w:i/>
          <w:color w:val="000000"/>
          <w:sz w:val="22"/>
        </w:rPr>
        <w:t xml:space="preserve">License requirements. </w:t>
      </w:r>
      <w:r>
        <w:rPr>
          <w:rFonts w:ascii="Times New Roman" w:hAnsi="Times New Roman"/>
          <w:b w:val="false"/>
          <w:i w:val="false"/>
          <w:color w:val="000000"/>
          <w:sz w:val="22"/>
        </w:rPr>
        <w:t>Each person who takes river otters or bobcats shall have a valid fur harvester license and pay the habitat fee if normally required to have a license to hunt or trap.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108.7(2)</w:t>
      </w:r>
      <w:r>
        <w:rPr>
          <w:rFonts w:ascii="Times New Roman" w:hAnsi="Times New Roman"/>
          <w:b w:val="false"/>
          <w:i w:val="false"/>
          <w:color w:val="000000"/>
          <w:sz w:val="22"/>
        </w:rPr>
        <w:t> </w:t>
      </w:r>
      <w:r>
        <w:rPr>
          <w:rFonts w:ascii="Times New Roman" w:hAnsi="Times New Roman"/>
          <w:b w:val="false"/>
          <w:i/>
          <w:color w:val="000000"/>
          <w:sz w:val="22"/>
        </w:rPr>
        <w:t xml:space="preserve">Open area. </w:t>
      </w:r>
      <w:r>
        <w:rPr>
          <w:rFonts w:ascii="Times New Roman" w:hAnsi="Times New Roman"/>
          <w:b w:val="false"/>
          <w:i w:val="false"/>
          <w:color w:val="000000"/>
          <w:sz w:val="22"/>
        </w:rPr>
        <w:t>River otters may be taken statewide. Bobcats may be taken in the following counties: Adair, Adams, Appanoose, Audubon, Boone, Cass, Cedar, Cherokee, Clarke, Clinton, Crawford, Dallas, Davis, Decatur, Delaware, Des Moines, Fremont, Guthrie, Harrison, Henry, Iowa, Jackson, Jasper, Jefferson, Johnson, Jones, Keokuk, Lee, Louisa, Lucas, Lyon, Madison, Mahaska, Marion, Mills, Monona, Monroe, Montgomery, Muscatine, Page, Plymouth, Polk, Pottawattamie, Poweshiek, Ringgold, Scott, Shelby, Sioux, Taylor, Union, Van Buren, Wapello, Warren, Washington, Wayne, Webster, and Woodbury.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108.7(3)</w:t>
      </w:r>
      <w:r>
        <w:rPr>
          <w:rFonts w:ascii="Times New Roman" w:hAnsi="Times New Roman"/>
          <w:b w:val="false"/>
          <w:i w:val="false"/>
          <w:color w:val="000000"/>
          <w:sz w:val="22"/>
        </w:rPr>
        <w:t> </w:t>
      </w:r>
      <w:r>
        <w:rPr>
          <w:rFonts w:ascii="Times New Roman" w:hAnsi="Times New Roman"/>
          <w:b w:val="false"/>
          <w:i/>
          <w:color w:val="000000"/>
          <w:sz w:val="22"/>
        </w:rPr>
        <w:t xml:space="preserve">Seasonal daily bag limit.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seasonal daily bag limit for river otters is 3 river otters per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seasonal daily bag limit for bobcats is 1 bobcat per person in the following counties: Audubon, Boone, Cedar, Cherokee, Clinton, Crawford, Dallas, Delaware, Guthrie, Harrison, Iowa, Jackson, Jasper, Johnson, Jones, Lyon, Monona, Muscatine, Plymouth, Polk, Poweshiek, Scott, Shelby, Sioux, Webster, and Woodbury.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seasonal daily bag limit for bobcats is 3 bobcats per person in the following counties: Adair, Adams, Appanoose, Cass, Clarke, Davis, Decatur, Des Moines, Fremont, Henry, Jefferson, Keokuk, Lee, Louisa, Lucas, Madison, Mahaska, Marion, Mills, Monroe, Montgomery, Page, Pottawattamie, Ringgold, Taylor, Union, Van Buren, Wapello, Warren, Washington, and Wayne.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more than 3 bobcats total can be legally harvested by a fur harvester in a season. River otters or bobcats trapped in excess of the seasonal daily bag limit or in a closed area must be turned over to the department; the fur harvester shall not be penalized.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108.7(4)</w:t>
      </w:r>
      <w:r>
        <w:rPr>
          <w:rFonts w:ascii="Times New Roman" w:hAnsi="Times New Roman"/>
          <w:b w:val="false"/>
          <w:i w:val="false"/>
          <w:color w:val="000000"/>
          <w:sz w:val="22"/>
        </w:rPr>
        <w:t> </w:t>
      </w:r>
      <w:r>
        <w:rPr>
          <w:rFonts w:ascii="Times New Roman" w:hAnsi="Times New Roman"/>
          <w:b w:val="false"/>
          <w:i/>
          <w:color w:val="000000"/>
          <w:sz w:val="22"/>
        </w:rPr>
        <w:t xml:space="preserve">Season dates. </w:t>
      </w:r>
      <w:r>
        <w:rPr>
          <w:rFonts w:ascii="Times New Roman" w:hAnsi="Times New Roman"/>
          <w:b w:val="false"/>
          <w:i w:val="false"/>
          <w:color w:val="000000"/>
          <w:sz w:val="22"/>
        </w:rPr>
        <w:t>The season for taking river otters and bobcats opens on the first Saturday in November and closes on February 28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108.7(5)</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Anyone, including a landowner or tenant not required to have a fur harvester license, who takes a river otter or bobcat must report the harvest and arrange to receive a Convention on International Trade in Endangered Species of Wild Fauna and Flora (CITES) tag from the officer or designated department employee within seven days of harvest. The river otter or bobcat shall be skinned and its lower jaw or skull turned over to the department conservation officer or designated department employee at the time the CITES tag is issued. If the specimen is to be kept whole for taxidermy purposes, a cut shall be made by the trapper between the gum line and eye so the CITES tag can be attached to the skin.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108.7(6)</w:t>
      </w:r>
      <w:r>
        <w:rPr>
          <w:rFonts w:ascii="Times New Roman" w:hAnsi="Times New Roman"/>
          <w:b w:val="false"/>
          <w:i w:val="false"/>
          <w:color w:val="000000"/>
          <w:sz w:val="22"/>
        </w:rPr>
        <w:t> </w:t>
      </w:r>
      <w:r>
        <w:rPr>
          <w:rFonts w:ascii="Times New Roman" w:hAnsi="Times New Roman"/>
          <w:b w:val="false"/>
          <w:i/>
          <w:color w:val="000000"/>
          <w:sz w:val="22"/>
        </w:rPr>
        <w:t xml:space="preserve">Tagging requirements. </w:t>
      </w:r>
      <w:r>
        <w:rPr>
          <w:rFonts w:ascii="Times New Roman" w:hAnsi="Times New Roman"/>
          <w:b w:val="false"/>
          <w:i w:val="false"/>
          <w:color w:val="000000"/>
          <w:sz w:val="22"/>
        </w:rPr>
        <w:t>Every river otter or bobcat that may legally be kept must have a CITES tag attached. Tags will be supplied by the conservation officer or designated department employee. The tag must remain with the pelt until the pelt is sold or used for other purposes that render it no longer available for sale. Persons displaying river otters or bobcats as taxidermy mounts or as other decorative items must keep the tags in their possession as proof of legal harvest.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571—108.8</w:t>
      </w:r>
      <w:r>
        <w:rPr>
          <w:rFonts w:ascii="Times New Roman" w:hAnsi="Times New Roman"/>
          <w:b/>
          <w:i w:val="false"/>
          <w:color w:val="000000"/>
          <w:sz w:val="22"/>
        </w:rPr>
        <w:t xml:space="preserve">(481A) </w:t>
      </w:r>
      <w:r>
        <w:rPr>
          <w:rFonts w:ascii="Times New Roman" w:hAnsi="Times New Roman"/>
          <w:b/>
          <w:i w:val="false"/>
          <w:color w:val="000000"/>
          <w:sz w:val="22"/>
        </w:rPr>
        <w:t xml:space="preserve">Accidental capture of a river otter or bobcat during a closed season. </w:t>
      </w:r>
      <w:r>
        <w:rPr>
          <w:rFonts w:ascii="Times New Roman" w:hAnsi="Times New Roman"/>
          <w:b w:val="false"/>
          <w:i w:val="false"/>
          <w:color w:val="000000"/>
          <w:sz w:val="22"/>
        </w:rPr>
        <w:t>A person who accidentally captures a river otter or bobcat during a closed season or in a closed area or after the person’s individual daily bag limit has been reached shall not be penalized provided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river otter or bobcat is captured during a legal trapping season or as part of a legal depredation control process;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conservation officer is contacted within 24 hours and the river otter or bobcat and all parts thereof are turned over to a conservation officer as soon as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571—108.9</w:t>
      </w:r>
      <w:r>
        <w:rPr>
          <w:rFonts w:ascii="Times New Roman" w:hAnsi="Times New Roman"/>
          <w:b/>
          <w:i w:val="false"/>
          <w:color w:val="000000"/>
          <w:sz w:val="22"/>
        </w:rPr>
        <w:t xml:space="preserve">(481A) </w:t>
      </w:r>
      <w:r>
        <w:rPr>
          <w:rFonts w:ascii="Times New Roman" w:hAnsi="Times New Roman"/>
          <w:b/>
          <w:i w:val="false"/>
          <w:color w:val="000000"/>
          <w:sz w:val="22"/>
        </w:rPr>
        <w:t xml:space="preserve">Trapping restrictions. </w:t>
      </w:r>
      <w:r>
        <w:rPr>
          <w:rFonts w:ascii="Times New Roman" w:hAnsi="Times New Roman"/>
          <w:b w:val="false"/>
          <w:i w:val="false"/>
          <w:color w:val="000000"/>
          <w:sz w:val="22"/>
        </w:rPr>
        <w:t>Trapping for all furbearers will be restricted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108.9(1)</w:t>
      </w:r>
      <w:r>
        <w:rPr>
          <w:rFonts w:ascii="Times New Roman" w:hAnsi="Times New Roman"/>
          <w:b w:val="false"/>
          <w:i w:val="false"/>
          <w:color w:val="000000"/>
          <w:sz w:val="22"/>
        </w:rPr>
        <w:t> </w:t>
      </w:r>
      <w:r>
        <w:rPr>
          <w:rFonts w:ascii="Times New Roman" w:hAnsi="Times New Roman"/>
          <w:b w:val="false"/>
          <w:i/>
          <w:color w:val="000000"/>
          <w:sz w:val="22"/>
        </w:rPr>
        <w:t xml:space="preserve">Exposed bait. </w:t>
      </w:r>
      <w:r>
        <w:rPr>
          <w:rFonts w:ascii="Times New Roman" w:hAnsi="Times New Roman"/>
          <w:b w:val="false"/>
          <w:i w:val="false"/>
          <w:color w:val="000000"/>
          <w:sz w:val="22"/>
        </w:rPr>
        <w:t>No person shall set or maintain any leghold, body-clasping trap, or snare within 20 feet of exposed bait on land anywhere in the state or over water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Mississippi River corridor—Allamakee, Clayton, Dubuque, Jackson, Clinton, Scott, Muscatine, Louisa, Des Moines and Lee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Missouri River corridor—Those portions of Woodbury, Monona, Harrison, Pottawattamie, Mills and Fremont Counties west of Interstate 29.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 Moines River corridor—Boone, Dallas, Polk, Marion, Mahaska, Wapello and Van Buren Counties.</w:t>
      </w:r>
    </w:p>
    <w:p>
      <w:pPr>
        <w:spacing w:before="0" w:after="0"/>
        <w:ind w:left="120"/>
        <w:jc w:val="both"/>
      </w:pPr>
      <w:r>
        <w:rPr>
          <w:rFonts w:ascii="Times New Roman" w:hAnsi="Times New Roman"/>
          <w:b w:val="false"/>
          <w:i w:val="false"/>
          <w:color w:val="000000"/>
          <w:sz w:val="22"/>
        </w:rPr>
        <w:t>“Exposed bait” means meat or viscera or any animal, bird, fish, amphibian, or reptile with or without skin, hide, or feathers visible to soaring birds.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571—108.10</w:t>
      </w:r>
      <w:r>
        <w:rPr>
          <w:rFonts w:ascii="Times New Roman" w:hAnsi="Times New Roman"/>
          <w:b/>
          <w:i w:val="false"/>
          <w:color w:val="000000"/>
          <w:sz w:val="22"/>
        </w:rPr>
        <w:t xml:space="preserve">(481A) </w:t>
      </w:r>
      <w:r>
        <w:rPr>
          <w:rFonts w:ascii="Times New Roman" w:hAnsi="Times New Roman"/>
          <w:b/>
          <w:i w:val="false"/>
          <w:color w:val="000000"/>
          <w:sz w:val="22"/>
        </w:rPr>
        <w:t xml:space="preserve">Public roadside limitations—snares and body-gripping type traps. </w:t>
      </w:r>
      <w:r>
        <w:rPr>
          <w:rFonts w:ascii="Times New Roman" w:hAnsi="Times New Roman"/>
          <w:b w:val="false"/>
          <w:i w:val="false"/>
          <w:color w:val="000000"/>
          <w:sz w:val="22"/>
        </w:rPr>
        <w:t>No person shall set or maintain any snare or body-gripping type trap within any public road right-of-way within 200 yards of buildings inhabited by human beings unless a resident of the dwelling adjacent to the public road right-of-way has given permission or unless the body-gripping type trap is completely underwater or at least one-half of the loop of a snare is underwater. Nothing in this rule shall be construed as limiting the use of foothold traps or box-type live traps in public road rights-of-way. No person shall place or leave any trap, stake, or nonindigenous set making material upon any public road right-of-way except during a period of time that begins two weeks before the trapping season opens and ends on the last day of the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571—108.11</w:t>
      </w:r>
      <w:r>
        <w:rPr>
          <w:rFonts w:ascii="Times New Roman" w:hAnsi="Times New Roman"/>
          <w:b/>
          <w:i w:val="false"/>
          <w:color w:val="000000"/>
          <w:sz w:val="22"/>
        </w:rPr>
        <w:t xml:space="preserve">(481A) </w:t>
      </w:r>
      <w:r>
        <w:rPr>
          <w:rFonts w:ascii="Times New Roman" w:hAnsi="Times New Roman"/>
          <w:b/>
          <w:i w:val="false"/>
          <w:color w:val="000000"/>
          <w:sz w:val="22"/>
        </w:rPr>
        <w:t xml:space="preserve">Snares.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108.11(1)</w:t>
      </w:r>
      <w:r>
        <w:rPr>
          <w:rFonts w:ascii="Times New Roman" w:hAnsi="Times New Roman"/>
          <w:b w:val="false"/>
          <w:i w:val="false"/>
          <w:color w:val="000000"/>
          <w:sz w:val="22"/>
        </w:rPr>
        <w:t> </w:t>
      </w:r>
      <w:r>
        <w:rPr>
          <w:rFonts w:ascii="Times New Roman" w:hAnsi="Times New Roman"/>
          <w:b w:val="false"/>
          <w:i/>
          <w:color w:val="000000"/>
          <w:sz w:val="22"/>
        </w:rPr>
        <w:t xml:space="preserve">Placement. </w:t>
      </w:r>
      <w:r>
        <w:rPr>
          <w:rFonts w:ascii="Times New Roman" w:hAnsi="Times New Roman"/>
          <w:b w:val="false"/>
          <w:i w:val="false"/>
          <w:color w:val="000000"/>
          <w:sz w:val="22"/>
        </w:rPr>
        <w:t>No person shall set or maintain any snare in any public road right-of-way so that the snare when fully extended can touch any fence. Snares may not be attached to a drag.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108.11(2)</w:t>
      </w:r>
      <w:r>
        <w:rPr>
          <w:rFonts w:ascii="Times New Roman" w:hAnsi="Times New Roman"/>
          <w:b w:val="false"/>
          <w:i w:val="false"/>
          <w:color w:val="000000"/>
          <w:sz w:val="22"/>
        </w:rPr>
        <w:t> </w:t>
      </w:r>
      <w:r>
        <w:rPr>
          <w:rFonts w:ascii="Times New Roman" w:hAnsi="Times New Roman"/>
          <w:b w:val="false"/>
          <w:i/>
          <w:color w:val="000000"/>
          <w:sz w:val="22"/>
        </w:rPr>
        <w:t xml:space="preserve">Loop size. </w:t>
      </w:r>
      <w:r>
        <w:rPr>
          <w:rFonts w:ascii="Times New Roman" w:hAnsi="Times New Roman"/>
          <w:b w:val="false"/>
          <w:i w:val="false"/>
          <w:color w:val="000000"/>
          <w:sz w:val="22"/>
        </w:rPr>
        <w:t>No snare when set will have a loop larger than 8 inches in horizontal measurement except for snares set with at least one-half of the loop underwater or snares set on private land other than roadsides within 30 yards of a pond, lake, drainage ditch, creek, stream or river shall not have a loop larger than 11 inches in horizontal measurement.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108.11(3)</w:t>
      </w:r>
      <w:r>
        <w:rPr>
          <w:rFonts w:ascii="Times New Roman" w:hAnsi="Times New Roman"/>
          <w:b w:val="false"/>
          <w:i w:val="false"/>
          <w:color w:val="000000"/>
          <w:sz w:val="22"/>
        </w:rPr>
        <w:t> </w:t>
      </w:r>
      <w:r>
        <w:rPr>
          <w:rFonts w:ascii="Times New Roman" w:hAnsi="Times New Roman"/>
          <w:b w:val="false"/>
          <w:i/>
          <w:color w:val="000000"/>
          <w:sz w:val="22"/>
        </w:rPr>
        <w:t xml:space="preserve">Deer locks. </w:t>
      </w:r>
      <w:r>
        <w:rPr>
          <w:rFonts w:ascii="Times New Roman" w:hAnsi="Times New Roman"/>
          <w:b w:val="false"/>
          <w:i w:val="false"/>
          <w:color w:val="000000"/>
          <w:sz w:val="22"/>
        </w:rPr>
        <w:t>All snares must have a functional deer lock that will not allow the snare loop to close smaller than 2½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108.11(4)</w:t>
      </w:r>
      <w:r>
        <w:rPr>
          <w:rFonts w:ascii="Times New Roman" w:hAnsi="Times New Roman"/>
          <w:b w:val="false"/>
          <w:i w:val="false"/>
          <w:color w:val="000000"/>
          <w:sz w:val="22"/>
        </w:rPr>
        <w:t> </w:t>
      </w:r>
      <w:r>
        <w:rPr>
          <w:rFonts w:ascii="Times New Roman" w:hAnsi="Times New Roman"/>
          <w:b w:val="false"/>
          <w:i/>
          <w:color w:val="000000"/>
          <w:sz w:val="22"/>
        </w:rPr>
        <w:t xml:space="preserve">Mechanical snares. </w:t>
      </w:r>
      <w:r>
        <w:rPr>
          <w:rFonts w:ascii="Times New Roman" w:hAnsi="Times New Roman"/>
          <w:b w:val="false"/>
          <w:i w:val="false"/>
          <w:color w:val="000000"/>
          <w:sz w:val="22"/>
        </w:rPr>
        <w:t>It shall be illegal to set any mechanically powered snare designed to capture an animal by the neck or body unless such snares are placed completely underwater.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571—108.12</w:t>
      </w:r>
      <w:r>
        <w:rPr>
          <w:rFonts w:ascii="Times New Roman" w:hAnsi="Times New Roman"/>
          <w:b/>
          <w:i w:val="false"/>
          <w:color w:val="000000"/>
          <w:sz w:val="22"/>
        </w:rPr>
        <w:t xml:space="preserve">(481A) </w:t>
      </w:r>
      <w:r>
        <w:rPr>
          <w:rFonts w:ascii="Times New Roman" w:hAnsi="Times New Roman"/>
          <w:b/>
          <w:i w:val="false"/>
          <w:color w:val="000000"/>
          <w:sz w:val="22"/>
        </w:rPr>
        <w:t xml:space="preserve">Body-gripping traps. </w:t>
      </w:r>
      <w:r>
        <w:rPr>
          <w:rFonts w:ascii="Times New Roman" w:hAnsi="Times New Roman"/>
          <w:b w:val="false"/>
          <w:i w:val="false"/>
          <w:color w:val="000000"/>
          <w:sz w:val="22"/>
        </w:rPr>
        <w:t>No person shall set or maintain any body-gripping trap on any public road right-of-way within five feet of any fence.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571—108.13</w:t>
      </w:r>
      <w:r>
        <w:rPr>
          <w:rFonts w:ascii="Times New Roman" w:hAnsi="Times New Roman"/>
          <w:b/>
          <w:i w:val="false"/>
          <w:color w:val="000000"/>
          <w:sz w:val="22"/>
        </w:rPr>
        <w:t xml:space="preserve">(481A) </w:t>
      </w:r>
      <w:r>
        <w:rPr>
          <w:rFonts w:ascii="Times New Roman" w:hAnsi="Times New Roman"/>
          <w:b/>
          <w:i w:val="false"/>
          <w:color w:val="000000"/>
          <w:sz w:val="22"/>
        </w:rPr>
        <w:t xml:space="preserve">Foothold traps. </w:t>
      </w:r>
      <w:r>
        <w:rPr>
          <w:rFonts w:ascii="Times New Roman" w:hAnsi="Times New Roman"/>
          <w:b w:val="false"/>
          <w:i w:val="false"/>
          <w:color w:val="000000"/>
          <w:sz w:val="22"/>
        </w:rPr>
        <w:t>No person shall set or maintain on land any foothold trap with metal-serrated jaws, metal-toothed jaws or a spread inside the set jaws of greater than 7 inches.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571—108.14</w:t>
      </w:r>
      <w:r>
        <w:rPr>
          <w:rFonts w:ascii="Times New Roman" w:hAnsi="Times New Roman"/>
          <w:b/>
          <w:i w:val="false"/>
          <w:color w:val="000000"/>
          <w:sz w:val="22"/>
        </w:rPr>
        <w:t xml:space="preserve">(481A) </w:t>
      </w:r>
      <w:r>
        <w:rPr>
          <w:rFonts w:ascii="Times New Roman" w:hAnsi="Times New Roman"/>
          <w:b/>
          <w:i w:val="false"/>
          <w:color w:val="000000"/>
          <w:sz w:val="22"/>
        </w:rPr>
        <w:t xml:space="preserve">Removal of animals from traps and snares. </w:t>
      </w:r>
      <w:r>
        <w:rPr>
          <w:rFonts w:ascii="Times New Roman" w:hAnsi="Times New Roman"/>
          <w:b w:val="false"/>
          <w:i w:val="false"/>
          <w:color w:val="000000"/>
          <w:sz w:val="22"/>
        </w:rPr>
        <w:t>All animals or animal carcasses caught in any type of trap or snare, except those that are placed entirely underwater and designed to drown the animal immediately, must be removed from the trap or snare by the trap or snare user immediately upon discovery and within 24 hours of the time the animal is caught.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571—108.15</w:t>
      </w:r>
      <w:r>
        <w:rPr>
          <w:rFonts w:ascii="Times New Roman" w:hAnsi="Times New Roman"/>
          <w:b/>
          <w:i w:val="false"/>
          <w:color w:val="000000"/>
          <w:sz w:val="22"/>
        </w:rPr>
        <w:t xml:space="preserve">(481A) </w:t>
      </w:r>
      <w:r>
        <w:rPr>
          <w:rFonts w:ascii="Times New Roman" w:hAnsi="Times New Roman"/>
          <w:b/>
          <w:i w:val="false"/>
          <w:color w:val="000000"/>
          <w:sz w:val="22"/>
        </w:rPr>
        <w:t xml:space="preserve">Trap tag requirements. </w:t>
      </w:r>
      <w:r>
        <w:rPr>
          <w:rFonts w:ascii="Times New Roman" w:hAnsi="Times New Roman"/>
          <w:b w:val="false"/>
          <w:i w:val="false"/>
          <w:color w:val="000000"/>
          <w:sz w:val="22"/>
        </w:rPr>
        <w:t>All traps and snares, whether set or not, possessed by a person who can reasonably be presumed to be trapping shall have a metal tag attached plainly labeled with the user’s name and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571—108.16</w:t>
      </w:r>
      <w:r>
        <w:rPr>
          <w:rFonts w:ascii="Times New Roman" w:hAnsi="Times New Roman"/>
          <w:b/>
          <w:i w:val="false"/>
          <w:color w:val="000000"/>
          <w:sz w:val="22"/>
        </w:rPr>
        <w:t xml:space="preserve">(481A) </w:t>
      </w:r>
      <w:r>
        <w:rPr>
          <w:rFonts w:ascii="Times New Roman" w:hAnsi="Times New Roman"/>
          <w:b/>
          <w:i w:val="false"/>
          <w:color w:val="000000"/>
          <w:sz w:val="22"/>
        </w:rPr>
        <w:t xml:space="preserve">Colony traps. </w:t>
      </w:r>
      <w:r>
        <w:rPr>
          <w:rFonts w:ascii="Times New Roman" w:hAnsi="Times New Roman"/>
          <w:b w:val="false"/>
          <w:i w:val="false"/>
          <w:color w:val="000000"/>
          <w:sz w:val="22"/>
        </w:rPr>
        <w:t>All colony traps must be set entirely under 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9243C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481A.6</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481A.87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481A.90</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481A.92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6/11/76—published 6/28/76, effective 6/11/76]</w:t>
      </w:r>
    </w:p>
    <w:p>
      <w:pPr>
        <w:spacing w:before="0" w:after="0"/>
        <w:ind w:left="120"/>
        <w:jc w:val="center"/>
      </w:pPr>
      <w:r>
        <w:rPr>
          <w:rFonts w:ascii="Times New Roman" w:hAnsi="Times New Roman"/>
          <w:b w:val="false"/>
          <w:i w:val="false"/>
          <w:color w:val="000000"/>
          <w:sz w:val="21"/>
        </w:rPr>
        <w:t>[Filed emergency 7/20/77—published 8/10/77, effective 9/1/77]</w:t>
      </w:r>
    </w:p>
    <w:p>
      <w:pPr>
        <w:spacing w:before="0" w:after="0"/>
        <w:ind w:left="120"/>
        <w:jc w:val="center"/>
      </w:pPr>
      <w:r>
        <w:rPr>
          <w:rFonts w:ascii="Times New Roman" w:hAnsi="Times New Roman"/>
          <w:b w:val="false"/>
          <w:i w:val="false"/>
          <w:color w:val="000000"/>
          <w:sz w:val="21"/>
        </w:rPr>
        <w:t>[Filed emergency 9/1/77—published 9/21/77, effective 10/15/77]</w:t>
      </w:r>
    </w:p>
    <w:p>
      <w:pPr>
        <w:spacing w:before="0" w:after="0"/>
        <w:ind w:left="120"/>
        <w:jc w:val="center"/>
      </w:pPr>
      <w:r>
        <w:rPr>
          <w:rFonts w:ascii="Times New Roman" w:hAnsi="Times New Roman"/>
          <w:b w:val="false"/>
          <w:i w:val="false"/>
          <w:color w:val="000000"/>
          <w:sz w:val="21"/>
        </w:rPr>
        <w:t>[Filed 6/28/78, Notice 3/8/78—published 7/26/78, effective 8/30/78]</w:t>
      </w:r>
    </w:p>
    <w:p>
      <w:pPr>
        <w:spacing w:before="0" w:after="0"/>
        <w:ind w:left="120"/>
        <w:jc w:val="center"/>
      </w:pPr>
      <w:r>
        <w:rPr>
          <w:rFonts w:ascii="Times New Roman" w:hAnsi="Times New Roman"/>
          <w:b w:val="false"/>
          <w:i w:val="false"/>
          <w:color w:val="000000"/>
          <w:sz w:val="21"/>
        </w:rPr>
        <w:t>[Filed emergency 8/9/78—published 9/6/78, effective 8/9/78]</w:t>
      </w:r>
    </w:p>
    <w:p>
      <w:pPr>
        <w:spacing w:before="0" w:after="0"/>
        <w:ind w:left="120"/>
        <w:jc w:val="center"/>
      </w:pPr>
      <w:r>
        <w:rPr>
          <w:rFonts w:ascii="Times New Roman" w:hAnsi="Times New Roman"/>
          <w:b w:val="false"/>
          <w:i w:val="false"/>
          <w:color w:val="000000"/>
          <w:sz w:val="21"/>
        </w:rPr>
        <w:t>[Filed 7/5/79, Notice 3/7/79—published 7/25/79, effective 8/29/79]</w:t>
      </w:r>
    </w:p>
    <w:p>
      <w:pPr>
        <w:spacing w:before="0" w:after="0"/>
        <w:ind w:left="120"/>
        <w:jc w:val="center"/>
      </w:pPr>
      <w:r>
        <w:rPr>
          <w:rFonts w:ascii="Times New Roman" w:hAnsi="Times New Roman"/>
          <w:b w:val="false"/>
          <w:i w:val="false"/>
          <w:color w:val="000000"/>
          <w:sz w:val="21"/>
        </w:rPr>
        <w:t>[Filed 7/2/80, Notice 3/5/80—published 7/23/80, effective 8/27/80]</w:t>
      </w:r>
    </w:p>
    <w:p>
      <w:pPr>
        <w:spacing w:before="0" w:after="0"/>
        <w:ind w:left="120"/>
        <w:jc w:val="center"/>
      </w:pPr>
      <w:r>
        <w:rPr>
          <w:rFonts w:ascii="Times New Roman" w:hAnsi="Times New Roman"/>
          <w:b w:val="false"/>
          <w:i w:val="false"/>
          <w:color w:val="000000"/>
          <w:sz w:val="21"/>
        </w:rPr>
        <w:t>[Filed 7/9/81, Notice 3/4/81—published 8/5/81, effective 9/9/81]</w:t>
      </w:r>
    </w:p>
    <w:p>
      <w:pPr>
        <w:spacing w:before="0" w:after="0"/>
        <w:ind w:left="120"/>
        <w:jc w:val="center"/>
      </w:pPr>
      <w:r>
        <w:rPr>
          <w:rFonts w:ascii="Times New Roman" w:hAnsi="Times New Roman"/>
          <w:b w:val="false"/>
          <w:i w:val="false"/>
          <w:color w:val="000000"/>
          <w:sz w:val="21"/>
        </w:rPr>
        <w:t>[Filed 6/3/82, Notice 3/3/82—published 6/23/82, effective 7/28/82]</w:t>
      </w:r>
    </w:p>
    <w:p>
      <w:pPr>
        <w:spacing w:before="0" w:after="0"/>
        <w:ind w:left="120"/>
        <w:jc w:val="center"/>
      </w:pPr>
      <w:r>
        <w:rPr>
          <w:rFonts w:ascii="Times New Roman" w:hAnsi="Times New Roman"/>
          <w:b w:val="false"/>
          <w:i w:val="false"/>
          <w:color w:val="000000"/>
          <w:sz w:val="21"/>
        </w:rPr>
        <w:t>[Filed 6/3/83, Notice 3/30/83—published 6/22/83, effective 8/1/83]</w:t>
      </w:r>
    </w:p>
    <w:p>
      <w:pPr>
        <w:spacing w:before="0" w:after="0"/>
        <w:ind w:left="120"/>
        <w:jc w:val="center"/>
      </w:pPr>
      <w:r>
        <w:rPr>
          <w:rFonts w:ascii="Times New Roman" w:hAnsi="Times New Roman"/>
          <w:b w:val="false"/>
          <w:i w:val="false"/>
          <w:color w:val="000000"/>
          <w:sz w:val="21"/>
        </w:rPr>
        <w:t>[Filed 6/13/84, Notice 2/29/84—published 7/4/84, effective 9/1/84]</w:t>
      </w:r>
    </w:p>
    <w:p>
      <w:pPr>
        <w:spacing w:before="0" w:after="0"/>
        <w:ind w:left="120"/>
        <w:jc w:val="center"/>
      </w:pPr>
      <w:r>
        <w:rPr>
          <w:rFonts w:ascii="Times New Roman" w:hAnsi="Times New Roman"/>
          <w:b w:val="false"/>
          <w:i w:val="false"/>
          <w:color w:val="000000"/>
          <w:sz w:val="21"/>
        </w:rPr>
        <w:t>[Filed 6/6/85, Notice 2/27/85—published 7/3/85, effective 8/15/85]</w:t>
      </w:r>
    </w:p>
    <w:p>
      <w:pPr>
        <w:spacing w:before="0" w:after="0"/>
        <w:ind w:left="120"/>
        <w:jc w:val="center"/>
      </w:pPr>
      <w:r>
        <w:rPr>
          <w:rFonts w:ascii="Times New Roman" w:hAnsi="Times New Roman"/>
          <w:b w:val="false"/>
          <w:i w:val="false"/>
          <w:color w:val="000000"/>
          <w:sz w:val="21"/>
        </w:rPr>
        <w:t>[Filed 6/11/86, Notice 2/26/86—published 7/2/86, effective 8/15/86]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6/11/87, Notice 3/11/87—published 7/1/87, effective 8/10/87]</w:t>
      </w:r>
    </w:p>
    <w:p>
      <w:pPr>
        <w:spacing w:before="0" w:after="0"/>
        <w:ind w:left="120"/>
        <w:jc w:val="center"/>
      </w:pPr>
      <w:r>
        <w:rPr>
          <w:rFonts w:ascii="Times New Roman" w:hAnsi="Times New Roman"/>
          <w:b w:val="false"/>
          <w:i w:val="false"/>
          <w:color w:val="000000"/>
          <w:sz w:val="21"/>
        </w:rPr>
        <w:t>[Filed 5/13/88, Notice 2/24/88—published 6/1/88, effective 7/6/88]</w:t>
      </w:r>
    </w:p>
    <w:p>
      <w:pPr>
        <w:spacing w:before="0" w:after="0"/>
        <w:ind w:left="120"/>
        <w:jc w:val="center"/>
      </w:pPr>
      <w:r>
        <w:rPr>
          <w:rFonts w:ascii="Times New Roman" w:hAnsi="Times New Roman"/>
          <w:b w:val="false"/>
          <w:i w:val="false"/>
          <w:color w:val="000000"/>
          <w:sz w:val="21"/>
        </w:rPr>
        <w:t>[Filed 5/12/89, Notice 3/8/89—published 5/31/89, effective 8/1/89]</w:t>
      </w:r>
    </w:p>
    <w:p>
      <w:pPr>
        <w:spacing w:before="0" w:after="0"/>
        <w:ind w:left="120"/>
        <w:jc w:val="center"/>
      </w:pPr>
      <w:r>
        <w:rPr>
          <w:rFonts w:ascii="Times New Roman" w:hAnsi="Times New Roman"/>
          <w:b w:val="false"/>
          <w:i w:val="false"/>
          <w:color w:val="000000"/>
          <w:sz w:val="21"/>
        </w:rPr>
        <w:t>[Filed 5/11/90, Notice 3/7/90—published 5/30/90, effective 8/1/90]</w:t>
      </w:r>
    </w:p>
    <w:p>
      <w:pPr>
        <w:spacing w:before="0" w:after="0"/>
        <w:ind w:left="120"/>
        <w:jc w:val="center"/>
      </w:pPr>
      <w:r>
        <w:rPr>
          <w:rFonts w:ascii="Times New Roman" w:hAnsi="Times New Roman"/>
          <w:b w:val="false"/>
          <w:i w:val="false"/>
          <w:color w:val="000000"/>
          <w:sz w:val="21"/>
        </w:rPr>
        <w:t>[Filed 5/10/91, Notice 3/6/91—published 5/29/91, effective 8/1/91]</w:t>
      </w:r>
    </w:p>
    <w:p>
      <w:pPr>
        <w:spacing w:before="0" w:after="0"/>
        <w:ind w:left="120"/>
        <w:jc w:val="center"/>
      </w:pPr>
      <w:r>
        <w:rPr>
          <w:rFonts w:ascii="Times New Roman" w:hAnsi="Times New Roman"/>
          <w:b w:val="false"/>
          <w:i w:val="false"/>
          <w:color w:val="000000"/>
          <w:sz w:val="21"/>
        </w:rPr>
        <w:t>[Filed 5/8/92, Notice 3/4/92—published 5/27/92, effective 8/3/92]</w:t>
      </w:r>
    </w:p>
    <w:p>
      <w:pPr>
        <w:spacing w:before="0" w:after="0"/>
        <w:ind w:left="120"/>
        <w:jc w:val="center"/>
      </w:pPr>
      <w:r>
        <w:rPr>
          <w:rFonts w:ascii="Times New Roman" w:hAnsi="Times New Roman"/>
          <w:b w:val="false"/>
          <w:i w:val="false"/>
          <w:color w:val="000000"/>
          <w:sz w:val="21"/>
        </w:rPr>
        <w:t>[Filed 5/7/93, Notice 3/31/93—published 5/26/93, effective 8/2/93]</w:t>
      </w:r>
    </w:p>
    <w:p>
      <w:pPr>
        <w:spacing w:before="0" w:after="0"/>
        <w:ind w:left="120"/>
        <w:jc w:val="center"/>
      </w:pPr>
      <w:r>
        <w:rPr>
          <w:rFonts w:ascii="Times New Roman" w:hAnsi="Times New Roman"/>
          <w:b w:val="false"/>
          <w:i w:val="false"/>
          <w:color w:val="000000"/>
          <w:sz w:val="21"/>
        </w:rPr>
        <w:t>[Filed 5/20/94, Notice 3/2/94—published 6/8/94, effective 8/1/94]</w:t>
      </w:r>
    </w:p>
    <w:p>
      <w:pPr>
        <w:spacing w:before="0" w:after="0"/>
        <w:ind w:left="120"/>
        <w:jc w:val="center"/>
      </w:pPr>
      <w:r>
        <w:rPr>
          <w:rFonts w:ascii="Times New Roman" w:hAnsi="Times New Roman"/>
          <w:b w:val="false"/>
          <w:i w:val="false"/>
          <w:color w:val="000000"/>
          <w:sz w:val="21"/>
        </w:rPr>
        <w:t>[Filed 5/15/95, Notice 3/1/95—published 6/7/95, effective 8/1/95]</w:t>
      </w:r>
    </w:p>
    <w:p>
      <w:pPr>
        <w:spacing w:before="0" w:after="0"/>
        <w:ind w:left="120"/>
        <w:jc w:val="center"/>
      </w:pPr>
      <w:r>
        <w:rPr>
          <w:rFonts w:ascii="Times New Roman" w:hAnsi="Times New Roman"/>
          <w:b w:val="false"/>
          <w:i w:val="false"/>
          <w:color w:val="000000"/>
          <w:sz w:val="21"/>
        </w:rPr>
        <w:t>[Filed 9/19/97, Notice 7/16/97—published 10/8/97, effective 11/12/97]</w:t>
      </w:r>
    </w:p>
    <w:p>
      <w:pPr>
        <w:spacing w:before="0" w:after="0"/>
        <w:ind w:left="120"/>
        <w:jc w:val="center"/>
      </w:pPr>
      <w:r>
        <w:rPr>
          <w:rFonts w:ascii="Times New Roman" w:hAnsi="Times New Roman"/>
          <w:b w:val="false"/>
          <w:i w:val="false"/>
          <w:color w:val="000000"/>
          <w:sz w:val="21"/>
        </w:rPr>
        <w:t>[Filed 5/18/05, Notice 3/30/05—published 6/8/05, effective 7/13/05]</w:t>
      </w:r>
    </w:p>
    <w:p>
      <w:pPr>
        <w:spacing w:before="0" w:after="0"/>
        <w:ind w:left="120"/>
        <w:jc w:val="center"/>
      </w:pPr>
      <w:r>
        <w:rPr>
          <w:rFonts w:ascii="Times New Roman" w:hAnsi="Times New Roman"/>
          <w:b w:val="false"/>
          <w:i w:val="false"/>
          <w:color w:val="000000"/>
          <w:sz w:val="21"/>
        </w:rPr>
        <w:t>[Filed 5/17/06, Notice 3/29/06—published 6/7/06, effective 7/12/06]</w:t>
      </w:r>
    </w:p>
    <w:p>
      <w:pPr>
        <w:spacing w:before="0" w:after="0"/>
        <w:ind w:left="120"/>
        <w:jc w:val="center"/>
      </w:pPr>
      <w:r>
        <w:rPr>
          <w:rFonts w:ascii="Times New Roman" w:hAnsi="Times New Roman"/>
          <w:b w:val="false"/>
          <w:i w:val="false"/>
          <w:color w:val="000000"/>
          <w:sz w:val="21"/>
        </w:rPr>
        <w:t>[Filed 6/14/07, Notice 5/9/07—published 7/4/07, effective 8/8/07]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7933B</w:t>
      </w:r>
      <w:r>
        <w:rPr>
          <w:rFonts w:ascii="Times New Roman" w:hAnsi="Times New Roman"/>
          <w:b w:val="false"/>
          <w:i w:val="false"/>
          <w:color w:val="000000"/>
          <w:sz w:val="21"/>
        </w:rPr>
        <w:t xml:space="preserve"> (Notice ARC 7691B,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8889B</w:t>
      </w:r>
      <w:r>
        <w:rPr>
          <w:rFonts w:ascii="Times New Roman" w:hAnsi="Times New Roman"/>
          <w:b w:val="false"/>
          <w:i w:val="false"/>
          <w:color w:val="000000"/>
          <w:sz w:val="21"/>
        </w:rPr>
        <w:t xml:space="preserve"> (Notice ARC 8685B, IAB 4/7/10)</w:t>
      </w:r>
      <w:r>
        <w:rPr>
          <w:rFonts w:ascii="Times New Roman" w:hAnsi="Times New Roman"/>
          <w:b w:val="false"/>
          <w:i w:val="false"/>
          <w:color w:val="000000"/>
          <w:sz w:val="21"/>
        </w:rPr>
        <w:t>, IAB 6/30/10, effective 8/18/10]</w:t>
      </w:r>
    </w:p>
    <w:p>
      <w:pPr>
        <w:spacing w:before="0" w:after="0"/>
        <w:ind w:left="120"/>
        <w:jc w:val="center"/>
      </w:pPr>
      <w:r>
        <w:rPr>
          <w:rFonts w:ascii="Times New Roman" w:hAnsi="Times New Roman"/>
          <w:b w:val="false"/>
          <w:i w:val="false"/>
          <w:color w:val="000000"/>
          <w:sz w:val="21"/>
        </w:rPr>
        <w:t>[Filed ARC 9654B</w:t>
      </w:r>
      <w:r>
        <w:rPr>
          <w:rFonts w:ascii="Times New Roman" w:hAnsi="Times New Roman"/>
          <w:b w:val="false"/>
          <w:i w:val="false"/>
          <w:color w:val="000000"/>
          <w:sz w:val="21"/>
        </w:rPr>
        <w:t xml:space="preserve"> (Notice ARC 9544B, IAB 6/1/11)</w:t>
      </w:r>
      <w:r>
        <w:rPr>
          <w:rFonts w:ascii="Times New Roman" w:hAnsi="Times New Roman"/>
          <w:b w:val="false"/>
          <w:i w:val="false"/>
          <w:color w:val="000000"/>
          <w:sz w:val="21"/>
        </w:rPr>
        <w:t>, IAB 8/10/11, effective 9/14/11]</w:t>
      </w:r>
    </w:p>
    <w:p>
      <w:pPr>
        <w:spacing w:before="0" w:after="0"/>
        <w:ind w:left="120"/>
        <w:jc w:val="center"/>
      </w:pPr>
      <w:r>
        <w:rPr>
          <w:rFonts w:ascii="Times New Roman" w:hAnsi="Times New Roman"/>
          <w:b w:val="false"/>
          <w:i w:val="false"/>
          <w:color w:val="000000"/>
          <w:sz w:val="21"/>
        </w:rPr>
        <w:t>[Filed ARC 0188C</w:t>
      </w:r>
      <w:r>
        <w:rPr>
          <w:rFonts w:ascii="Times New Roman" w:hAnsi="Times New Roman"/>
          <w:b w:val="false"/>
          <w:i w:val="false"/>
          <w:color w:val="000000"/>
          <w:sz w:val="21"/>
        </w:rPr>
        <w:t xml:space="preserve"> (Notice ARC 0115C, IAB 5/2/12)</w:t>
      </w:r>
      <w:r>
        <w:rPr>
          <w:rFonts w:ascii="Times New Roman" w:hAnsi="Times New Roman"/>
          <w:b w:val="false"/>
          <w:i w:val="false"/>
          <w:color w:val="000000"/>
          <w:sz w:val="21"/>
        </w:rPr>
        <w:t>, IAB 7/11/12, effective 8/15/12]</w:t>
      </w:r>
    </w:p>
    <w:p>
      <w:pPr>
        <w:spacing w:before="0" w:after="0"/>
        <w:ind w:left="120"/>
        <w:jc w:val="center"/>
      </w:pPr>
      <w:r>
        <w:rPr>
          <w:rFonts w:ascii="Times New Roman" w:hAnsi="Times New Roman"/>
          <w:b w:val="false"/>
          <w:i w:val="false"/>
          <w:color w:val="000000"/>
          <w:sz w:val="21"/>
        </w:rPr>
        <w:t>[Filed ARC 0831C</w:t>
      </w:r>
      <w:r>
        <w:rPr>
          <w:rFonts w:ascii="Times New Roman" w:hAnsi="Times New Roman"/>
          <w:b w:val="false"/>
          <w:i w:val="false"/>
          <w:color w:val="000000"/>
          <w:sz w:val="21"/>
        </w:rPr>
        <w:t xml:space="preserve"> (Notice ARC 0718C, IAB 5/1/13)</w:t>
      </w:r>
      <w:r>
        <w:rPr>
          <w:rFonts w:ascii="Times New Roman" w:hAnsi="Times New Roman"/>
          <w:b w:val="false"/>
          <w:i w:val="false"/>
          <w:color w:val="000000"/>
          <w:sz w:val="21"/>
        </w:rPr>
        <w:t>, IAB 7/10/13, effective 8/14/13]</w:t>
      </w:r>
    </w:p>
    <w:p>
      <w:pPr>
        <w:spacing w:before="0" w:after="0"/>
        <w:ind w:left="120"/>
        <w:jc w:val="center"/>
      </w:pPr>
      <w:r>
        <w:rPr>
          <w:rFonts w:ascii="Times New Roman" w:hAnsi="Times New Roman"/>
          <w:b w:val="false"/>
          <w:i w:val="false"/>
          <w:color w:val="000000"/>
          <w:sz w:val="21"/>
        </w:rPr>
        <w:t>[Filed ARC 3799C</w:t>
      </w:r>
      <w:r>
        <w:rPr>
          <w:rFonts w:ascii="Times New Roman" w:hAnsi="Times New Roman"/>
          <w:b w:val="false"/>
          <w:i w:val="false"/>
          <w:color w:val="000000"/>
          <w:sz w:val="21"/>
        </w:rPr>
        <w:t xml:space="preserve"> (Notice ARC 3624C,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4530C</w:t>
      </w:r>
      <w:r>
        <w:rPr>
          <w:rFonts w:ascii="Times New Roman" w:hAnsi="Times New Roman"/>
          <w:b w:val="false"/>
          <w:i w:val="false"/>
          <w:color w:val="000000"/>
          <w:sz w:val="21"/>
        </w:rPr>
        <w:t xml:space="preserve"> (Notice ARC 4423C, IAB 5/8/19)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5067C</w:t>
      </w:r>
      <w:r>
        <w:rPr>
          <w:rFonts w:ascii="Times New Roman" w:hAnsi="Times New Roman"/>
          <w:b w:val="false"/>
          <w:i w:val="false"/>
          <w:color w:val="000000"/>
          <w:sz w:val="21"/>
        </w:rPr>
        <w:t xml:space="preserve"> (Notice ARC 5033C, IAB 5/6/20)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5681C</w:t>
      </w:r>
      <w:r>
        <w:rPr>
          <w:rFonts w:ascii="Times New Roman" w:hAnsi="Times New Roman"/>
          <w:b w:val="false"/>
          <w:i w:val="false"/>
          <w:color w:val="000000"/>
          <w:sz w:val="21"/>
        </w:rPr>
        <w:t xml:space="preserve"> (Notice ARC 5510C, IAB 3/10/21)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7010C</w:t>
      </w:r>
      <w:r>
        <w:rPr>
          <w:rFonts w:ascii="Times New Roman" w:hAnsi="Times New Roman"/>
          <w:b w:val="false"/>
          <w:i w:val="false"/>
          <w:color w:val="000000"/>
          <w:sz w:val="21"/>
        </w:rPr>
        <w:t xml:space="preserve"> (Amended Notice ARC 6948C, IAB 3/8/23; </w:t>
      </w:r>
      <w:r>
        <w:rPr>
          <w:rFonts w:ascii="Times New Roman" w:hAnsi="Times New Roman"/>
          <w:b w:val="false"/>
          <w:i w:val="false"/>
          <w:color w:val="000000"/>
          <w:sz w:val="21"/>
        </w:rPr>
        <w:t>Notice ARC 6815C, IAB 1/11/23)</w:t>
      </w:r>
      <w:r>
        <w:rPr>
          <w:rFonts w:ascii="Times New Roman" w:hAnsi="Times New Roman"/>
          <w:b w:val="false"/>
          <w:i w:val="false"/>
          <w:color w:val="000000"/>
          <w:sz w:val="21"/>
        </w:rPr>
        <w:t>, IAB 5/3/23, effective 6/7/23]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9243C</w:t>
      </w:r>
      <w:r>
        <w:rPr>
          <w:rFonts w:ascii="Times New Roman" w:hAnsi="Times New Roman"/>
          <w:b w:val="false"/>
          <w:i w:val="false"/>
          <w:color w:val="000000"/>
          <w:sz w:val="21"/>
        </w:rPr>
        <w:t xml:space="preserve"> (Notice ARC 8612C, IAB 1/8/25)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[Filed ARC 0117D</w:t>
      </w:r>
      <w:r>
        <w:rPr>
          <w:rFonts w:ascii="Times New Roman" w:hAnsi="Times New Roman"/>
          <w:b w:val="false"/>
          <w:i w:val="false"/>
          <w:color w:val="000000"/>
          <w:sz w:val="21"/>
        </w:rPr>
        <w:t xml:space="preserve"> (Notice ARC 9595C, IAB 10/15/25)</w:t>
      </w:r>
      <w:r>
        <w:rPr>
          <w:rFonts w:ascii="Times New Roman" w:hAnsi="Times New Roman"/>
          <w:b w:val="false"/>
          <w:i w:val="false"/>
          <w:color w:val="000000"/>
          <w:sz w:val="21"/>
        </w:rPr>
        <w:t>, IAB 3/4/26, effective 4/8/26]</w:t>
      </w:r>
    </w:p>
    <w:p>
      <w:pPr>
        <w:pBdr>
          <w:bottom w:space="2"/>
        </w:pBdr>
        <w:spacing w:before="0" w:after="0"/>
        <w:ind w:left="120"/>
        <w:jc w:val="both"/>
      </w:pPr>
      <w:r>
        <w:rPr>
          <w:rFonts w:ascii="Times New Roman" w:hAnsi="Times New Roman"/>
          <w:b w:val="false"/>
          <w:i w:val="false"/>
          <w:color w:val="000000"/>
          <w:sz w:val="22"/>
        </w:rPr>
        <w:t>June 7, 2023, effective date of amendments to 108.1 to 108.10 [ARC 7010C] delayed 70 days by the Administrative Rules Review Committee at its meeting held May 8, 2023; delay lifted at the meeting held June 13, 2023.</w:t>
      </w:r>
    </w:p>
    <w:sectPr>
      <w:footerReference r:id="rId12"/>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90.pdf" Type="http://schemas.openxmlformats.org/officeDocument/2006/relationships/hyperlink" Id="rId5"/>
    <Relationship TargetMode="External" Target="https://www.legis.iowa.gov/docs/ico/chapter/481A.6.pdf" Type="http://schemas.openxmlformats.org/officeDocument/2006/relationships/hyperlink" Id="rId6"/>
    <Relationship TargetMode="External" Target="https://www.legis.iowa.gov/docs/ico/chapter/481A.38.pdf" Type="http://schemas.openxmlformats.org/officeDocument/2006/relationships/hyperlink" Id="rId7"/>
    <Relationship TargetMode="External" Target="https://www.legis.iowa.gov/docs/ico/chapter/481A.39.pdf" Type="http://schemas.openxmlformats.org/officeDocument/2006/relationships/hyperlink" Id="rId8"/>
    <Relationship TargetMode="External" Target="https://www.legis.iowa.gov/docs/ico/chapter/481A.87.pdf" Type="http://schemas.openxmlformats.org/officeDocument/2006/relationships/hyperlink" Id="rId9"/>
    <Relationship TargetMode="External" Target="https://www.legis.iowa.gov/docs/ico/chapter/481A.90.pdf" Type="http://schemas.openxmlformats.org/officeDocument/2006/relationships/hyperlink" Id="rId10"/>
    <Relationship TargetMode="External" Target="https://www.legis.iowa.gov/docs/ico/chapter/481A.92.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